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5P.393/2000 vom 22. Oktober 1998</w:t>
      </w:r>
    </w:p>
    <w:p>
      <w:r>
        <w:t>Bundesgericht, 1998-10-22, FR</w:t>
      </w:r>
    </w:p>
    <w:p>
      <w:r>
        <w:rPr>
          <w:b/>
        </w:rPr>
        <w:t xml:space="preserve">Quelle: </w:t>
      </w:r>
      <w:r>
        <w:t>https://mcp.opencaselaw.ch/entscheid/bger_5P.393_2000</w:t>
      </w:r>
    </w:p>
    <w:p>
      <w:r>
        <w:t>FR: TF 5P.393/2000 du 22 octobre 1998</w:t>
      </w:r>
    </w:p>
    <w:p>
      <w:r>
        <w:t>IT: TF 5P.393/2000 del 22 ottobre 1998</w:t>
      </w:r>
    </w:p>
    <w:p>
      <w:pPr>
        <w:pStyle w:val="Heading2"/>
      </w:pPr>
      <w:r>
        <w:t>Regeste</w:t>
      </w:r>
    </w:p>
    <w:p>
      <w:r>
        <w:t>Droit de la famille</w:t>
      </w:r>
    </w:p>
    <w:p>
      <w:pPr>
        <w:pStyle w:val="Heading2"/>
      </w:pPr>
      <w:r>
        <w:t>Erwägungen</w:t>
      </w:r>
    </w:p>
    <w:p>
      <w:r>
        <w:rPr>
          <w:b/>
        </w:rPr>
        <w:t>E. 1</w:t>
      </w:r>
    </w:p>
    <w:p>
      <w:r>
        <w:t>a) Interjeté en temps utile contre une décision sur mesures provisoires ( ATF 126 III 261 consid. 1 p. 263) prise en dernière instance cantonale, le recours est recevable sous l'angle des art. 86 al. 1, 87 et 89 al. 1 OJ. b) D'après l' art. 57 al. 5 OJ - applicable par analogie en vertu du renvoi de l' art. 74 OJ ( ATF 118 II 521 consid. 1a p. 523 et les références) -, il est sursis en règle générale à l'arrêt sur le recours en nullité jusqu'à droit connu sur le recours de droit public. Il n'y a pas lieu de déroger à ce principe dans le cas présent. c) Le chef de conclusions tendant au renvoi de la cause à la juridiction inférieure pour qu'elle statue à nouveau est superfétatoire (arrêt L. du 12 mars 1987, in Rep. 1987 p. 323 consid. 1b); c'est la conséquence de l'éventuelle admission du recours ( ATF 112 Ia 353 consid. 3c/bb p. 354/355).</w:t>
      </w:r>
    </w:p>
    <w:p>
      <w:r>
        <w:rPr>
          <w:b/>
        </w:rPr>
        <w:t>E. 2</w:t>
      </w:r>
    </w:p>
    <w:p>
      <w:r>
        <w:t>Dans un unique moyen, la recourante soutient que, en déclarant irrecevable la requête de mesures provisoires sans être saisie d'un appel incident de l'intimé, les magistrats cantonaux ont procédé à une reformatio in pejus prohibée par l' art. 9 Cst. (cf. ATF 110 II 113 ). a) La Cour de justice a exposé que la compétence du juge suisse pour prendre des mesures provisoires suppose que sa compétence sur le fond soit établie ( art. 62 al. 1 LDIP ), du moins prima facie ( ATF 126 III 257 consid. 4b p. 260), ce qui implique un "examen préjudiciel de la compétence du juge du divorce par le juge des mesures provisionnelles"; se fondant sur un arrêt vaudois (JdT 1990 III p. 3 ss), elle a considéré que l'"incompétence du juge du divorce doit être relevée d'office" et "entraîne l'incompétence du juge pour ordonner des mesures provisoires". b) Ignorant les exigences - rappelées maintes fois par la jurisprudence (en dernier lieu: ATF 126 III 534 consid. 1b p. 536; 125 I 492 consid. 1b p. 495 et les nombreux arrêts cités) - posées par l' art. 90 al. 1 let. b OJ , la recourante ne discute aucunement les motifs de la cour cantonale, mais se borne à présenter sa propre argumentation: manifestement appellatoire, le moyen est, dès lors, irrecevable ( ATF 123 II 552 consid. 4d p. 558). Au demeurant, l'arrêt déféré est exempt d'arbitraire. En instance d'appel, l'intimé a en effet conclu, principalement, à l'irrecevabilité de la requête de mesures provisoires pour incompétence des juridictions suisses; au regard de ce chef de conclusions, il n'eût pas été indéfendable d'assimiler sur ce point la réponse à un "appel incident" au sens où l'entend la recourante ( ATF 121 III 420 consid. 1 p. 423). Quoi qu'il en soit, le principe invoqué en l'espèce n'est pas applicable lorsqu'il porte, comme ici, sur une condition de recevabilité du procès (Piquerez, L'interdiction de la reformatio in pejus en procédure civile et en procédure pénale, in Mél. Assista, Genève 1989, p. 506 ch. 3.1 et les citations).</w:t>
      </w:r>
    </w:p>
    <w:p>
      <w:r>
        <w:rPr>
          <w:b/>
        </w:rPr>
        <w:t>E. 3</w:t>
      </w:r>
    </w:p>
    <w:p>
      <w:r>
        <w:t>En conclusion, le présent recours doit être déclaré entièrement irrecevable, avec suite de frais à la charge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