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5P.390/2000 vom 14. November 2000</w:t>
      </w:r>
    </w:p>
    <w:p>
      <w:r>
        <w:t>Bundesgericht, 2000-11-14, DE</w:t>
      </w:r>
    </w:p>
    <w:p>
      <w:r>
        <w:rPr>
          <w:b/>
        </w:rPr>
        <w:t xml:space="preserve">Quelle: </w:t>
      </w:r>
      <w:r>
        <w:t>https://mcp.opencaselaw.ch/entscheid/bger_5P.390_2000</w:t>
      </w:r>
    </w:p>
    <w:p>
      <w:r>
        <w:t>FR: TF 5P.390/2000 du 14 novembre 2000</w:t>
      </w:r>
    </w:p>
    <w:p>
      <w:r>
        <w:t>IT: TF 5P.390/2000 del 14 novembre 2000</w:t>
      </w:r>
    </w:p>
    <w:p>
      <w:pPr>
        <w:pStyle w:val="Heading2"/>
      </w:pPr>
      <w:r>
        <w:t>Regeste</w:t>
      </w:r>
    </w:p>
    <w:p>
      <w:r>
        <w:t>Grundrecht</w:t>
      </w:r>
    </w:p>
    <w:p>
      <w:pPr>
        <w:pStyle w:val="Heading2"/>
      </w:pPr>
      <w:r>
        <w:t>Erwägungen</w:t>
      </w:r>
    </w:p>
    <w:p>
      <w:r>
        <w:rPr>
          <w:b/>
        </w:rPr>
        <w:t>E. 1</w:t>
      </w:r>
    </w:p>
    <w:p>
      <w:r>
        <w:t>a) Gemäss Art. 57 Abs. 5 OG wird der Entscheid über die Berufung in der Regel bis zur Erledigung der staatsrechtlichen Beschwerde ausgesetzt. Es besteht kein Grund, hier von diesem Grundsatz abzuweichen. b) Das Urteil des Kantonsgerichts stellt einen kantonal letztinstanzlichen Endentscheid im Sinne von Art. 86 Abs. 1 OG dar, zumal die kantonale Nichtigkeitsbeschwerde ausgeschlossen ist (Art. 238 lit. b des St. Galler Zivilprozessgesetzes). Aus dieser Sicht ist auf die staatsrechtliche Beschwerde deshalb ohne weiteres einzutreten.</w:t>
      </w:r>
    </w:p>
    <w:p>
      <w:r>
        <w:rPr>
          <w:b/>
        </w:rPr>
        <w:t>E. 2</w:t>
      </w:r>
    </w:p>
    <w:p>
      <w:r>
        <w:t>Die Beschwerdeführerin erblickt darin einen Verstoss gegen Art. 8 Abs. 1 und 3 BV , dass das Kantonsgericht die Praxis geändert und das Existenzminimum des Beschwerdegegners abweichend von den bisher massgebenden SchKG-Richtlinien berechnet habe. Bei Anwendung der früheren Berechnungsmethode läge dessen Leistungsfähigkeit um monatlich Fr. 300.-- höher. Auf ihrer, der Beschwerdeführerin, Seite bestehe ein erhebliches Unterhaltsmanko. Da nach der bundesgerichtlichen Rechtsprechung die Erweiterung des betreibungsrechtlichen Minimalbedarfs durch Pauschalzuschläge in Mangellagen unzulässig sei, werde sie durch die neue Berechnungsweise in allgemeiner Weise und auch geschlechtsspezifisch diskriminiert. Der Vorwurf der Diskriminierung ist unbegründet: Das Kantonsgericht hat nicht nur den Existenzbedarf des Beschwerdegegners, sondern auch denjenigen der Beschwerdeführerin nach einer gegenüber den Betreibungsansätzen etwas grosszügigeren Berechnungsweise festgelegt. Ein Unterschied besteht einzig bei den Rubriken Krankenkasse und öffentliche Verkehrsmittel, wo für den Beschwerdegegner krankheitsbedingte Mehraufwendungen eingestellt wurden. Inwiefern diese Aufrechnungen ungerechtfertigt sein und auf willkürlicher Beweiswürdigung beruhen sollten, legt die Beschwerdeführerin nicht dar. Sind aber die Bedürfnisse beider Parteien nach den selben Grundsätzen ermittelt worden, ist weder das allgemeine Rechtsgleichheitsgebot noch das Verbot der geschlechtsspezifischen Schlechterstellung verletzt. Tiefere Ansätze für den Beschwerdegegner beim Grundbetrag und bei "Telefon, Radio und Fernsehen" müssten auch für die Beschwerdeführerin Anwendung finden und würden deren (durch den Unterhaltsbeitrag zu deckendes) Manko von Fr. 300.-- noch verringern. Bei dieser Sachlage erübrigt es sich, näher auszuleuchten, inwiefern der Diskriminierungsvorwurf überhaupt die Feststellung von Tatsachen, und nicht die Anwendung von Bundesrecht (Art. 125 f. ZGB), betrifft und inwiefern demnach die staatsrechtliche Beschwerde in diesem Punkt überhaupt zulässig ist (vgl. Poudret/Sandoz-Monod, Commentaire de la loi fédérale d'organisation judiciaire, II. Bd., N 1.6.3 zu Art. 43).</w:t>
      </w:r>
    </w:p>
    <w:p>
      <w:r>
        <w:rPr>
          <w:b/>
        </w:rPr>
        <w:t>E. 3</w:t>
      </w:r>
    </w:p>
    <w:p>
      <w:r>
        <w:t>Nach Auffassung der Beschwerdeführerin hat das Kantonsgericht auch den in Art. 29 Abs. 1 und 2 BV verankerten Gehörsanspruch missachtet: Sie habe in ihrer Eingabe vom 7. April 2000 beantragt, der ihr zustehende Unterhaltsbeitrag sei für den Fall, dass sich der Beschwerdegegner in Spanien niederlassen sollte, um Fr. 200.-- zu erhöhen. Mit diesem Begehren habe sich das Kantonsgericht weder formell noch materiell befasst. a) Es trifft zu, dass das Kantonsgericht nur geprüft und in seine Überlegungen einbezogen hat, wie sich die wirtschaftlichen Verhältnisse der Beschwerdeführerin darstellen würden, wenn sie selbst nach Spanien zurückkehren würde. Wie es sich verhielte, falls (auch) der Beschwerdegegner sich dort niederliesse, hat die kantonale Berufungsinstanz weder abgeklärt noch dargelegt. Allerdings hatte die Beschwerdeführerin in der erwähnten Eingabe vom 7. April 2000, in der sie die Möglichkeit einer Übersiedlung des Beschwerdegegners vorgebracht und ihre Rechtsbegehren entsprechend angepasst hatte, keinen einzigen zudienlichen Beweisantrag gestellt. Dem Kantonsgericht kann deshalb nicht vorgeworfen werden, es habe Beweisanträge der Beschwerdeführerin übergangen und aus diesem Grund gegen den verfassungsrechtlichen Gehörsanspruch verstossen. Indem es einen Unterhaltsbeitrag festgesetzt und diesen nicht von einem allfälligen Domizilwechsel des Beschwerdegegners abhängig gemacht hat, hat es das dahin zielende und als zulässig entgegengenommene Rechtsbegehren der Beschwerdeführerin zumindest sinngemäss abgewiesen. Damit kann sich unter dem Titel der Gehörsverweigerung bloss noch fragen, ob das angefochtene Urteil ungenügend begründet sei. b) Der Grundsatz des rechtlichen Gehörs ( Art. 29 Abs. 2 BV ) als persönlichkeitsbezogenes Mitwirkungsrecht verpflichtet, Entscheide zu begründen. Die Begründung soll dem Betroffenen ermöglichen, den Entscheid gegebenenfalls sachgerecht anzufechten, was erfordert, dass sowohl der Betroffene selbst wie auch die Rechtsmittelinstanz sich über dessen Tragweite ein Bild machen können. In diesem Sinne müssen wenigstens kurz die Überlegungen genannt werden, von denen sich die Behörde hat leiten lassen und auf welche sich ihr Entscheid stützt. Das bedeutet indessen nicht, dass sich die Behörde mit jeder tatbeständlichen Behauptung und jedem rechtlichen Einwand auseinandersetzen müsste. Vielmehr kann sie sich auf die für den Entscheid wesentlichen Gesichtspunkte beschränken ( BGE 126 I 97 E. 2b S. 102 f. mit Hinweisen). Das Kantonsgericht hat seine Überlegungen zur Rentenbemessung ausführlich dargelegt. Wenn es dabei nicht auf den Antrag eingegangen ist, auch der Möglichkeit einer Übersiedlung des Beschwerdegegners nach Spanien Rechnung zu tragen, kann dies nur so verstanden werden, dass es dem Vorbringen keine entscheidwesentliche Bedeutung zugemessen hat. Angesichts dessen, dass die Beschwerdeführerin nicht ansatzweise ausgeführt hatte, weshalb eine Rückkehr des Beschwerdegegners in sein Heimatland in Betracht zu ziehen sei, und sie zum Nachweis einer solchen Möglichkeit oder gar Wahrscheinlichkeit keinen einzigen Beweis oder Beweisantrag eingebracht hatte, lässt sich das Vorgehen der kantonalen Berufungsinstanz rechtfertigen. Unter den erwähnten Umständen durfte das Kantonsgericht die für das Begehren erforderliche tatsächliche Grundlage ohne weiteres als nicht erstellt bzw. als derart entfernte Eventualität betrachten, dass sie keine Rechtsfolgen zu bewirken vermöge. Die kantonale Berufungsinstanz durfte mit andern Worten zum Ergebnis gelangen, es fehle eine hinreichende Basis, um dem Begehren entsprechen zu können. Mithin konnte sie den Antrag, so wie er begründet worden war, als von vornherein aussichtslos erachten. Sie war deshalb nicht von Verfassungs wegen verpflichtet, auf die nur am Rande erwähnte Möglichkeit einer Rückkehr des Beschwerdegegners näher einzugehen. Auch eine Verletzung der verfassungsrechtlichen Begründungspflicht liegt nach dem Gesagten nicht vor.</w:t>
      </w:r>
    </w:p>
    <w:p>
      <w:r>
        <w:rPr>
          <w:b/>
        </w:rPr>
        <w:t>E. 4</w:t>
      </w:r>
    </w:p>
    <w:p>
      <w:r>
        <w:t>Soweit auf die Beschwerde einzutreten ist, ist sie mithin abzuweisen. Die Gerichtsgebühr ist daher grundsätzlich der Beschwerdeführerin aufzuerlegen ( Art. 156 Abs. 1 OG ). Indessen erschien die Beschwerde nicht von vornherein als aussichtslos im Sinne von Art. 152 Abs. 1 OG , zumal sich die Begründung in einem Punkt nur sinngemäss aus dem angefochtenen Urteil und den Erwägungen ergibt. Angesichts der wirtschaftlichen Verhältnisse der Beschwerdeführerin ist zudem davon auszugehen, dass die Voraussetzung der Bedürftigkeit erfüllt ist. Ebenso wenig ist an der Notwendigkeit einer Rechtsverbeiständung vor Bundesgericht zu zweifeln. Dem Gesuch der Beschwerdeführerin um Gewährung der unentgeltlichen Rechtspflege ist deshalb zu entsprechen, und es ist ihr in der Person ihrer Anwältin eine unentgeltliche Rechtsbeiständin beizugeben. Da keine Vernehmlassung zur Beschwerde eingeholt worden ist, steht dem Beschwerdegegner von vornherein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