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5P.387/2002 vom 27. Februar 2003</w:t>
      </w:r>
    </w:p>
    <w:p>
      <w:r>
        <w:t>Bundesgericht, 2003-02-27, FR</w:t>
      </w:r>
    </w:p>
    <w:p>
      <w:r>
        <w:rPr>
          <w:b/>
        </w:rPr>
        <w:t xml:space="preserve">Quelle: </w:t>
      </w:r>
      <w:r>
        <w:t>https://mcp.opencaselaw.ch/entscheid/bger_5P.387_2002</w:t>
      </w:r>
    </w:p>
    <w:p>
      <w:r>
        <w:t>FR: TF 5P.387/2002 du 27 février 2003</w:t>
      </w:r>
    </w:p>
    <w:p>
      <w:r>
        <w:t>IT: TF 5P.387/2002 del 27 febbraio 2003</w:t>
      </w:r>
    </w:p>
    <w:p>
      <w:pPr>
        <w:pStyle w:val="Heading2"/>
      </w:pPr>
      <w:r>
        <w:t>Regeste</w:t>
      </w:r>
    </w:p>
    <w:p>
      <w:r>
        <w:t>Droit de la famille</w:t>
      </w:r>
    </w:p>
    <w:p>
      <w:pPr>
        <w:pStyle w:val="Heading2"/>
      </w:pPr>
      <w:r>
        <w:t>Erwägungen</w:t>
      </w:r>
    </w:p>
    <w:p>
      <w:r>
        <w:rPr>
          <w:b/>
        </w:rPr>
        <w:t>E. 1.1</w:t>
      </w:r>
    </w:p>
    <w:p>
      <w:r>
        <w:t>Les décisions de mesures protectrices de l'union conjugale ne constituent pas des décisions finales au sens de l' art. 48 al. 1 OJ et ne peuvent par conséquent être entreprises par la voie du recours en réforme ( ATF 127 III 474 consid. 2a et b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1.2</w:t>
      </w:r>
    </w:p>
    <w:p>
      <w:r>
        <w:t>Dans la procédure de recours de droit public, la partie adverse n'a aucun droit de disposition sur l'objet du litige (Hans Marti, Die staatsrechtliche Beschwerde, 4e éd., p. 53 n. 70 et p. 144 n. 259); elle ne peut que conclure à l'irrecevabilité ou au rejet du recours et critiquer les points de l'arrêt attaqué qui lui sont défavorables ( ATF 123 I 56 consid. 2a p. 57; 115 Ia 27 consid. 4a p. 30; 101 Ia 521 consid. 3 p. 325), sans pouvoir prendre de conclusions propres sur le fond (cf. arrêt X. contre Compagnie d'assurance Y. du 26 novembre 1992, consid. 1c non publié in ATF 118 III 37 ). Le chef de conclusions de l'intimée visant à la confirmation de l'arrêt attaqué est donc irrecevable.</w:t>
      </w:r>
    </w:p>
    <w:p>
      <w:r>
        <w:rPr>
          <w:b/>
        </w:rPr>
        <w:t>E. 2</w:t>
      </w:r>
    </w:p>
    <w:p>
      <w:r>
        <w:t>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 art. 179 al. 1 CC ; Hausheer/Reusser/Geiser, Commentaire bernois, n. 8 et 8a ad art. 179 CC ; Bräm/Hasenböhler, Commentaire zurichois, n. 7 s. ad art. 179 CC ; Hasenböhler, Commentaire bâlois, n. 4 ad art. 179 CC ). Lorsque, dans une procédure de mesures protectrices de l'union conjugale, la contribution d'entretien a été calculée à partir d'un revenu hypothétique, c'est ce dernier qui est déterminant pour examiner ultérieurement, dans une procédure de modification des mesures prononcées, si les revenus ont changé de manière essentielle et durable. Les revenus réels inférieurs de l'époque ne jouent pas de rôle sous cet angle.</w:t>
      </w:r>
    </w:p>
    <w:p>
      <w:r>
        <w:rPr>
          <w:b/>
        </w:rPr>
        <w:t>E. 3</w:t>
      </w:r>
    </w:p>
    <w:p>
      <w:r>
        <w:t>Le recourant fait valoir que la cour cantonale est tombée dans l'arbitraire en retenant que sa situation s'était globalement améliorée et qu'il ne pouvait de ce fait obtenir une réduction de la contribution d'entretien mise à sa charge.</w:t>
      </w:r>
    </w:p>
    <w:p>
      <w:r>
        <w:rPr>
          <w:b/>
        </w:rPr>
        <w:t>E. 3.1</w:t>
      </w:r>
    </w:p>
    <w:p>
      <w:r>
        <w:t>La cour cantonale a considéré que pour obtenir cette réduction, le recourant devait soit établir des faits nouveaux, soit démontrer que la décision de mesures protectrices reposait sur des constatations inexactes. Or, selon elle, il n'y avait pas eu de faits nouveaux justifiant une réduction de la contribution d'entretien, puisque le revenu du recourant avait augmenté; en outre, l'arrêt du 15 juin 2001 ne contenant aucune constatation de fait sur le point de savoir si le recourant était en mesure de se procurer un gain mensuel de 5'500 fr., les griefs soulevés dans la requête de modification ne reposaient pas sur une appréciation erronée des faits, mais relevaient du raisonnement juridique, lequel ne pouvait être réexaminé dans le cadre de l' art. 179 CC . Cette argumentation est arbitraire sur les deux points. S'agissant du premier, on ne peut pas dire que le revenu du recourant a augmenté: en effet, la contribution d'entretien litigieuse a été fixée à 700 fr. par mois dans l'arrêt du 15 juin 2001 sur la base d'un revenu hypothétique annuel de 66'000 fr.; or, selon les constatations de la cour cantonale, le revenu réel net réalisé en 2000 et 2001 a été respectivement de 21'432 fr. 65 et 29'793 fr. 05; c'est dire que, manifestement, la situation financière du recourant est bien moins favorable que celle retenue dans l'arrêt du 15 juin 2001. Quant au second point, si l'on admet qu'il n'y a pas de constatations de fait dans cet arrêt concernant la capacité de gain du recourant, cela signifie que ce dernier ne pourra plus jamais obtenir de modification sur ce point, ce qui est évidemment insoutenable.</w:t>
      </w:r>
    </w:p>
    <w:p>
      <w:r>
        <w:rPr>
          <w:b/>
        </w:rPr>
        <w:t>E. 3.2</w:t>
      </w:r>
    </w:p>
    <w:p>
      <w:r>
        <w:t>De plus, le jugement de première instance avait relevé que le recourant n'avait pas sollicité d'enquêtes permettant de faire la preuve de prétendues constatations inexactes. Il appartient certes en premier lieu au recourant de prouver qu'il ne lui est pas possible ou qu'on ne peut exiger de lui qu'il gagne davantage, en établissant par exemple qu'il a vainement tenté de trouver une place comme travailleur dépendant ou qu'il n'aurait de toute façon pas gagné plus en cette qualité. Il ne peut se contenter de renvoyer simplement à son revenu effectif, d'autant plus lorsqu'il déclare lui-même au tribunal ne pas trouver toujours du travail. Cependant, en vertu de la maxime inquisitoire ( art. 176 al. 3 CC ), qui doit également profiter au débiteur de la contribution ( ATF 128 III 411 ), la cour cantonale aurait dû ordonner d'office l'administration de tous les moyens de preuve propres à établir les faits pertinents pour fixer la contribution d'entretien, et exiger en particulier du recourant qu'il collabore activement à cet effet (même arrêt, consid. 3.2.1, p. 413).</w:t>
      </w:r>
    </w:p>
    <w:p>
      <w:r>
        <w:rPr>
          <w:b/>
        </w:rPr>
        <w:t>E. 4</w:t>
      </w:r>
    </w:p>
    <w:p>
      <w:r>
        <w:t>Au vu de ce qui précède, le recours doit être admis et l'arrêt attaqué annulé. L'intimée, qui succombe, doit supporter les frais judiciaires ( art. 156 al. 1 OJ ) et verser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