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5P.381/2006 vom 16. Januar 2007</w:t>
      </w:r>
    </w:p>
    <w:p>
      <w:r>
        <w:t>Bundesgericht, 2007-01-16, DE</w:t>
      </w:r>
    </w:p>
    <w:p>
      <w:r>
        <w:rPr>
          <w:b/>
        </w:rPr>
        <w:t xml:space="preserve">Quelle: </w:t>
      </w:r>
      <w:r>
        <w:t>https://mcp.opencaselaw.ch/entscheid/bger_5P.381_2006</w:t>
      </w:r>
    </w:p>
    <w:p>
      <w:r>
        <w:t>FR: TF 5P.381/2006 du 16 janvier 2007</w:t>
      </w:r>
    </w:p>
    <w:p>
      <w:r>
        <w:t>IT: TF 5P.381/2006 del 16 gennaio 2007</w:t>
      </w:r>
    </w:p>
    <w:p>
      <w:pPr>
        <w:pStyle w:val="Heading2"/>
      </w:pPr>
      <w:r>
        <w:t>Regeste</w:t>
      </w:r>
    </w:p>
    <w:p>
      <w:r>
        <w:t>Art. 9 BV (Ehescheidung, Besuchsrecht) | Familienrecht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Wird in der gleichen Sache sowohl Berufung als auch staatsrechtliche Beschwerde eingereicht, ist in der Regel zuerst über die staatsrechtliche Beschwerde zu befinden und die Entscheidung über die Berufung auszusetzen ( Art. 57 Abs. 5 OG ). Es besteht kein Anlass, anders zu verfahren.</w:t>
      </w:r>
    </w:p>
    <w:p>
      <w:r>
        <w:rPr>
          <w:b/>
        </w:rPr>
        <w:t>E. 3</w:t>
      </w:r>
    </w:p>
    <w:p>
      <w:r>
        <w:t>Im Verfahren der staatsrechtlichen Beschwerde prüft das Bundesgericht nur klar und detailliert erhobene Rügen (Rügeprinzip), die soweit möglich zu belegen sind. Demgegenüber tritt es auf ungenügend begründete Rügen und rein appellatorische Kritik am angefochtenen Entscheid nicht ein ( BGE 125 I 492 E. 1b S. 495 ; 130 I 258 E. 1.3 S. 262).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4</w:t>
      </w:r>
    </w:p>
    <w:p>
      <w:r>
        <w:t>Die Beschwerdeführerin behauptet eine konkrete Entführungsgefahr und macht diesbezüglich willkürliche Beweiswürdigung durch das Obergericht geltend. Die Zeugen B.________ (älterer Sohn der Beschwerdeführerin) sowie F.________ (eine Freundin der Beschwerdeführerin) hätten übereinstimmend bestätigt, dass der Beschwerdegegner in den Jahren 1997 und 2002 ausgesagt habe, A.________ würde nie in der Schweiz in die Schule gehen können, sondern müsse in Syrien muslimisch erzogen werden. Da eine muslimische Erziehung unter der Obhut der Beschwerdeführerin nicht möglich sei, sondern eine Entführung nach Syrien voraussetze, bilde dies einen inhärenten Bestandteil der Zeugenaussagen. Die aktuellen Aussagen des Beschwerdegegners, er habe überhaupt keine Absicht, nach Syrien zu gehen, habe vor diesem Hintergrund zurückzutreten.</w:t>
      </w:r>
    </w:p>
    <w:p>
      <w:r>
        <w:rPr>
          <w:b/>
        </w:rPr>
        <w:t>E. 5</w:t>
      </w:r>
    </w:p>
    <w:p>
      <w:r>
        <w:t>Das Obergericht hat erwogen, zwischen dem Beschwerdegegner und der Tochter bestehe eine gute Beziehung und trotz der erschwerten Bedingungen bemühe er sich um die Aufrechterhaltung des Kontaktes. Im Weiteren hat das Obergericht die Zeugenaussage von B.________ erwähnt, wonach der Beschwerdegegner nach der Geburt von A.________ mehrmals im Streit mit der Beschwerdeführerin geäussert habe, A.________ müsse muslimisch erzogen werden; er habe nie konkret gedroht, A.________ der Beschwerdeführerin wegzunehmen, aber entsprechende Andeutungen gemacht. Ebenfalls hat es die Aussage der Zeugin F.________ festgehalten, wonach sich der Beschwerdegegner im Jahr 1997 kritisch zur freizügigen Erziehung und Bekleidung der Frauen in der Schweiz geäussert und gesagt habe, er würde allfällige Kinder in Syrien erziehen lassen, wobei sie nicht wisse, ob er heute noch der gleichen Ansicht sei. Das Obergericht hat diese Aussagen dahingehend gewürdigt, dass zwischen den Parteien Streit über die Erziehung von A.________ bestand, aber keine konkrete und aktuelle Entführungsgefahr nachgewiesen ist, sondern der Beschwerdegegner einfach gegenüber der westlichen Erziehung der Mädchen eine kritische Einstellung hat. Das Obergericht hat sodann die Parteiaussage des Beschwerdegegners erwähnt, er werde die Schweiz nicht verlassen und schon gar nicht A.________ alleine nach Syrien bringen, und auch darauf verwiesen, dass er in der Schweiz einer geregelten Arbeit nachgeht und relativ gut integriert ist, dass er sich nie gegen die Auflage gewehrt hat, während des persönlichen Verkehrs seine Pässe zu hinterlegen, sondern im Gegenteil sogar ein "electronic monitoring" vorgeschlagen hatte, und dass er sich gegenüber der Beiständin stets kooperativ verhalten und sich an deren Weisungen gehalten hat. Demgegenüber habe die Beschwerdeführerin anlässlich der obergerichtlichen Instruktionsverhandlung den Eindruck gemacht, seit der Geburt von A.________ trotz diverser Psychotherapien auf das Thema der Kindesentführung fixiert zu sein, was auch in den zahlreichen Berichten der Beiständin zum Ausdruck komme.</w:t>
      </w:r>
    </w:p>
    <w:p>
      <w:r>
        <w:rPr>
          <w:b/>
        </w:rPr>
        <w:t>E. 6</w:t>
      </w:r>
    </w:p>
    <w:p>
      <w:r>
        <w:t>Mit all diesen Erwägungen setzt sich die Beschwerdeführerin nicht im Ansatz auseinander, und sie übergeht auch, dass der Beschwerdegegner während der Ausübung des persönlichen Verkehrs seine Pässe bei der Beiständin hinterlegen muss; vielmehr beschränkt sie sich darauf, in appellatorischer Weise eine Entführungsgefahr zu behaupten. Damit sind die Substanziierungserfordernisse an Willkürrügen (dazu E. 3) nicht erfüllt, weshalb auf die staatsrechtliche Beschwerde nicht eingetreten werden kann.</w:t>
      </w:r>
    </w:p>
    <w:p>
      <w:r>
        <w:rPr>
          <w:b/>
        </w:rPr>
        <w:t>E. 7</w:t>
      </w:r>
    </w:p>
    <w:p>
      <w:r>
        <w:t>Wie die vorstehenden Erwägungen zeigen, muss die Beschwerde als von Anfang an aussichtslos gelten, weshalb es an den materiellen Voraussetzungen der unentgeltlichen Rechtspflege mangelt ( Art. 152 Abs. 1 OG ) und das entsprechende Gesuch abzuweisen ist. Die Gerichtsgebühr ist der Beschwerdeführerin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