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5P.379/2003 vom 19. März 2004</w:t>
      </w:r>
    </w:p>
    <w:p>
      <w:r>
        <w:t>Bundesgericht, 2004-03-19, FR</w:t>
      </w:r>
    </w:p>
    <w:p>
      <w:r>
        <w:rPr>
          <w:b/>
        </w:rPr>
        <w:t xml:space="preserve">Quelle: </w:t>
      </w:r>
      <w:r>
        <w:t>https://mcp.opencaselaw.ch/entscheid/bger_5P.379_2003</w:t>
      </w:r>
    </w:p>
    <w:p>
      <w:r>
        <w:t>FR: TF 5P.379/2003 du 19 mars 2004</w:t>
      </w:r>
    </w:p>
    <w:p>
      <w:r>
        <w:t>IT: TF 5P.379/2003 del 19 marzo 2004</w:t>
      </w:r>
    </w:p>
    <w:p>
      <w:pPr>
        <w:pStyle w:val="Heading2"/>
      </w:pPr>
      <w:r>
        <w:t>Regeste</w:t>
      </w:r>
    </w:p>
    <w:p>
      <w:r>
        <w:t>Droit de la famille</w:t>
      </w:r>
    </w:p>
    <w:p>
      <w:pPr>
        <w:pStyle w:val="Heading2"/>
      </w:pPr>
      <w:r>
        <w:t>Erwägungen</w:t>
      </w:r>
    </w:p>
    <w:p>
      <w:r>
        <w:rPr>
          <w:b/>
        </w:rPr>
        <w:t>E. 1</w:t>
      </w:r>
    </w:p>
    <w:p>
      <w:r>
        <w:t>Conformément au principe général de l' art. 57 al. 5 OJ , il convient d'examiner le recours de droit public en premier.</w:t>
      </w:r>
    </w:p>
    <w:p>
      <w:r>
        <w:rPr>
          <w:b/>
        </w:rPr>
        <w:t>E. 2</w:t>
      </w:r>
    </w:p>
    <w:p>
      <w:r>
        <w:t>Aux termes de l' art. 90 al. 1 let. b OJ , l'acte de recours doit, sous peine d'irrecevabilité, contenir un exposé succinct des droits constitutionnels ou des principes juridiques violés, précisant en quoi consiste la violation. Le justiciable qui se plaint d'arbitraire ne peut critiquer la décision comme il le ferait en instance d'appel, où l'autorité de recours dispose d'une libre cognition, mais il doit démontrer, par une argumentation précise, que cette décision repose sur une application de la loi ou une appréciation des preuves manifestement insoutenables ( ATF 128 I 295 consid. 7a p. 312; 125 I 492 consid. 1b p. 495 et les arrêts cités).</w:t>
      </w:r>
    </w:p>
    <w:p>
      <w:r>
        <w:rPr>
          <w:b/>
        </w:rPr>
        <w:t>E. 3</w:t>
      </w:r>
    </w:p>
    <w:p>
      <w:r>
        <w:t>Invoquant l' art. 9 Cst. , la recourante reproche à la cour cantonale de n'avoir arbitrairement pas pris en considération une preuve proposée, soit l'expertise estimant la valeur de la remise et de la grange à 15'000 fr., et ce parce que, par une motivation insoutenable, elle a considéré qu'elle n'aurait pas subi de dommage de ce chef. Elle expose ensuite en quoi cette motivation serait insoutenable, reprenant en substance la même argumentation que celle figurant dans son recours en réforme et soutenant que ces deux bâtiments n'ont pas fait l'objet de la vente, qu'ils auraient dû être conservés ou introduits comme valeur dans l'acte de vente et que, par la faute des intimés, elle a subi une diminution de patrimoine de 15'000 fr. Dans la mesure où on le comprend, le grief s'en prend à l'absence de constatation de fait de la valeur vénale de la grange et de la remise, qui selon l'expertise serait de 15'000 fr. Or, la cour cantonale a considéré que la recourante n'avait pas tenté de démontrer que la valeur de la contrepartie immobilière et financière qu'elle a retirée de l'opération serait inférieure à la valeur de la part de copropriété qu'elle a vendue. La recourante, qui n'a pas remis en cause cette motivation dans le présent recours, n'expose pas en quoi la valeur de la grange et de la remise aurait, en dépit de cela, une influence sur le sort du litige. Partant, son moyen est irrecevable.</w:t>
      </w:r>
    </w:p>
    <w:p>
      <w:r>
        <w:rPr>
          <w:b/>
        </w:rPr>
        <w:t>E. 4</w:t>
      </w:r>
    </w:p>
    <w:p>
      <w:r>
        <w:t>Étant irrecevable, le recours était d'emblée voué à l'échec. La recourante, qui n'a pas produit de pièces relatives à sa situation financière, n'a pas non plus démontré être indigente. La demande d'assistance judiciaire doit donc être refusée ( art. 152 al. 1 OJ ), et la recourante supportera les frais de la procédure ( art. 156 al. 1 OJ ). Il n'est pas alloué de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