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5P.353/2004 vom 21. Februar 2005</w:t>
      </w:r>
    </w:p>
    <w:p>
      <w:r>
        <w:t>Bundesgericht, 2005-02-21, FR</w:t>
      </w:r>
    </w:p>
    <w:p>
      <w:r>
        <w:rPr>
          <w:b/>
        </w:rPr>
        <w:t xml:space="preserve">Quelle: </w:t>
      </w:r>
      <w:r>
        <w:t>https://mcp.opencaselaw.ch/entscheid/bger_5P.353_2004</w:t>
      </w:r>
    </w:p>
    <w:p>
      <w:r>
        <w:t>FR: TF 5P.353/2004 du 21 février 2005</w:t>
      </w:r>
    </w:p>
    <w:p>
      <w:r>
        <w:t>IT: TF 5P.353/2004 del 21 febbraio 2005</w:t>
      </w:r>
    </w:p>
    <w:p>
      <w:pPr>
        <w:pStyle w:val="Heading2"/>
      </w:pPr>
      <w:r>
        <w:t>Regeste</w:t>
      </w:r>
    </w:p>
    <w:p>
      <w:r>
        <w:t>Art. 9 BV (opposition au séquestre) | Droit des poursuites et faillites</w:t>
      </w:r>
    </w:p>
    <w:p>
      <w:pPr>
        <w:pStyle w:val="Heading2"/>
      </w:pPr>
      <w:r>
        <w:t>Erwägungen</w:t>
      </w:r>
    </w:p>
    <w:p>
      <w:r>
        <w:rPr>
          <w:b/>
        </w:rPr>
        <w:t>E. 1.1</w:t>
      </w:r>
    </w:p>
    <w:p>
      <w:r>
        <w:t>La décision sur opposition au séquestre rendue en dernière instance cantonale ( art. 278 al. 3 LP ; art. 22 al. 4 de la loi d'application dans le canton de Genève de la LP, RSG E 3 60) est susceptible d'un recours de droit public au Tribunal fédéral (arrêt du 2 octobre 1997, consid. 2 non publié aux ATF 123 III 494 mais reproduit in SJ 120/1998 p. 145; arrêt 5P.117/2001 du 21 août 2001, consid. 1a, reproduit in IWIR 2002 p. 72; Bertrand Reeb, Les mesures provisoires dans la procédure de poursuite, in RDS 116/1997 II p. 421 ss, 483 et les références citées). Déposé en temps utile contre une telle décision, le recours est recevable sous l'angle des art. 86 al. 1, 87 et 89 al. 1 OJ. Il l'est aussi au regard de l' art. 88 OJ , la recourante étant personnellement touchée par l'arrêt attaqué.</w:t>
      </w:r>
    </w:p>
    <w:p>
      <w:r>
        <w:rPr>
          <w:b/>
        </w:rPr>
        <w:t>E. 1.2</w:t>
      </w:r>
    </w:p>
    <w:p>
      <w:r>
        <w:t>Selon l' art. 90 al. 1 let. b OJ , l'acte de recours de droit public doit - sous peine d'irrecevabilité ( ATF 123 II 552 consid. 4d et les arrêts cités) - contenir un exposé succinct des droits constitutionnels ou des principes juridiques violés, précisant en quoi consiste la violation. Saisi d'un recours de droit public, le Tribunal fédéral n'examine que les griefs soulevés de manière claire et détaillée, le principe iura novit curia étant inapplicable ( ATF 125 I 71 consid. 1c p. 76). Il s'ensuit que le justiciable qui se plaint d'arbitraire ( art. 9 Cst. ) ne peut se borner à critiquer la décision attaquée comme il le ferait en procédure d'appel, où l'autorité de recours jouit d'un libre pouvoir d'examen ( ATF 128 I 295 consid. 7a p. 312; 117 Ia 10 consid. 4b; 110 Ia 1 consid. 2a; 107 Ia 186 et la jurisprudence citée). En particulier, il ne peut se contenter d'opposer sa thèse à celle de l'autorité cantonale, mais doit démontrer, par une argumentation précise, que la décision attaquée repose sur une application de la loi ou une appréciation des preuves manifestement insoutenables ( ATF 125 I 492 consid. 1b; 120 Ia 369 consid. 3a; 86 I 226 ).</w:t>
      </w:r>
    </w:p>
    <w:p>
      <w:r>
        <w:rPr>
          <w:b/>
        </w:rPr>
        <w:t>E. 2</w:t>
      </w:r>
    </w:p>
    <w:p>
      <w:r>
        <w:t>La recourante reproche à l'autorité cantonale d'avoir arbitrairement appliqué l' art. 272 LP en admettant le caractère vraisemblable de la créance invoquée par l'intimée, malgré les éléments de fait qui auraient dû l'en faire douter.</w:t>
      </w:r>
    </w:p>
    <w:p>
      <w:r>
        <w:rPr>
          <w:b/>
        </w:rPr>
        <w:t>E. 2.1</w:t>
      </w:r>
    </w:p>
    <w:p>
      <w:r>
        <w:t>A cet égard, la recourante fait d'abord valoir que les juges cantonaux se seraient basés sur deux décisions, à savoir la sentence arbitrale du 2 décembre 2003 et une décision judiciaire du 7 janvier 2004 déclarant la première exécutoire. Cependant, ils auraient arbitrairement ignoré que la décision du 7 janvier 2004 contenait une erreur de fait manifeste : en effet, à l'objection de la recourante selon laquelle le contrat du 28 mai 2003 avait été annulé par la sentence arbitrale du 13 octobre 2003, le juge letton avait répondu en retenant à tort - comme cela résulterait d'une lecture attentive de ladite sentence - que le contrat annulé n'était pas le contrat litigieux du 28 mai 2003, mais un autre contrat portant le numéro 01-W/T-08-07-2003. Cette erreur de la décision du 7 janvier 2004 serait fondamentale, puisqu'il ressortirait clairement de cette décision que le juge letton aurait refusé de délivrer la décision d'exécutabilité s'il avait reconnu que c'était bien le contrat du 28 mai 2003 qui avait été annulé. En ignorant cet élément au moment d'apprécier le caractère vraisemblable de la créance invoquée, la cour cantonale aurait versé dans l'arbitraire. Cette argumentation tombe à faux. En effet, elle méconnaît que l'autorité cantonale a retenu que la décision rendue le 2 décembre 2003 par le Tribunal arbitral commercial de Riga pouvait, au stade du séquestre, être considérée comme un jugement exécutoire, au sens de l' art. 271 al. 1 ch. 4 LP , indépendamment de la décision d'exequatur prononcée le 7 janvier 2004 (cf. lettre E.c supra). La cour cantonale a ainsi examiné si la décision arbitrale du 2 décembre 2003 se heurtait à celle rendue le 13 octobre 2003 par le Tribunal arbitral commercial de Riga, qui annulait le contrat du 28 mai 2003. Selon elle, cette question appelait une réponse négative : en effet, il ressortait du jugement du 4 mars 2004 du Tribunal du département de Riga, refusant de délivrer la déclaration de force exécutoire, que l'intimée n'avait pas été assignée à la procédure arbitrale; dans ces conditions, la décision arbitrale du 13 octobre 2003 ne répondait pas aux exigences de l'art. V ch. 1 let. b de la convention de New York et ne pouvait donc pas constituer un jugement exécutoire au sens de l' art. 271 al. 1 ch. 4 LP (cf. lettre E.f supra). Tout ce raisonnement de l'autorité cantonale, qui est indépendant de la décision d'exécutabilité du 7 janvier 2004, ne fait l'objet d'aucune critique motivée d'une manière conforme aux exigences de l' art. 90 al. 1 let. b OJ . Partant, le moyen tiré d'éventuels vices affectant la décision du 7 janvier 2004 se révèle mal fondé dans la mesure où il est recevable.</w:t>
      </w:r>
    </w:p>
    <w:p>
      <w:r>
        <w:rPr>
          <w:b/>
        </w:rPr>
        <w:t>E. 2.2</w:t>
      </w:r>
    </w:p>
    <w:p>
      <w:r>
        <w:t>La recourante soutient également qu'elle n'aurait pas eu connaissance de la décision arbitrale du 2 décembre 2003, ni été informée de l'existence de la procédure engagée devant le Tribunal arbitral qui aurait statué par défaut, ce que la cour cantonale aurait arbitrairement ignoré. En effet, l'autorité cantonale se serait "bornée à ne retenir que des arguments tirés du caractère exécutoire possible de la décision arbitrale du 2 décembre 2003 selon les critères fixés par la Convention de New York sur la reconnaissance des décisions arbitrales étrangères, sans se pencher en détail sur les défauts manifestes des décisions en question et en les considérant d'emblée comme non pertinents". Toutefois, la recourante ne conteste pas que la question de savoir si la créance se fonde sur un jugement exécutoire au sens de l' art. 271 al. 1 ch. 4 LP doit être résolue, s'agissant d'une sentence arbitrale étrangère, au regard de la convention de New York précitée (cf. lettre E.b supra). Or elle ne démontre pas que les juges cantonaux seraient tombés dans l'arbitraire en retenant qu'elle n'avait fourni la preuve d'aucun motif qui permettrait, selon l'art. V ch. 1 de la convention de New York précitée, de refuser la reconnaissance et l'exécution de la décision rendue le 2 décembre 2003 par le Tribunal arbitral commercial de Riga (cf. lettre E.c supra). Cela étant, son grief ne peut qu'être écarté dans la mesure où il n'est pas déjà irrecevable faute de motivation suffisante (cf. consid. 1.2 supra).</w:t>
      </w:r>
    </w:p>
    <w:p>
      <w:r>
        <w:rPr>
          <w:b/>
        </w:rPr>
        <w:t>E. 2.3</w:t>
      </w:r>
    </w:p>
    <w:p>
      <w:r>
        <w:t>Toujours sous l'angle du caractère vraisemblable de la créance invoquée par l'intimée, la recourante reproche enfin à la cour cantonale de n'avoir pas retenu ses allégations selon lesquelles la décision du 7 janvier 2004 avait été obtenue par le biais de la corruption du juge. Cette critique tombe à faux dès lors que, comme on l'a vu (cf. consid. 2.1 supra), le raisonnement de la cour cantonale est indépendant de la décision d'exécutabilité du 7 janvier 2004, si bien que les moyens tirés d'éventuels vices affectant cette décision apparaissent d'emblée dénués de pertinence. Au surplus, la recourante se borne, de manière purement appellatoire et donc irrecevable (cf. consid. 1.2 supra), à opposer sa thèse à celle de l'autorité cantonale, sans démontrer en quoi la motivation circonstanciée qui a conduit les juges cantonaux à retenir que des actes de corruption vis-à-vis des autorités judiciaires de Riga n'avaient pas été rendus vraisemblables (cf. lettre E.e supra) serait insoutenable.</w:t>
      </w:r>
    </w:p>
    <w:p>
      <w:r>
        <w:rPr>
          <w:b/>
        </w:rPr>
        <w:t>E. 3.1</w:t>
      </w:r>
    </w:p>
    <w:p>
      <w:r>
        <w:t>La recourante reproche à l'autorité cantonale d'avoir arbitrairement appliqué l' art. 277 LP en n'ordonnant pas l'augmentation des sûretés à hauteur suffisante pour couvrir ses éventuelles prétentions en dommages-intérêts pour séquestre injustifié (cf. lettre E.g supra). Selon elle, l'argumentation de la cour cantonale serait arbitraire à deux égards : d'une part parce qu'elle retient que X.________ n'a pas démontré les éléments nécessaires à établir le prix de l'indisponibilité des fonds saisis, et d'autre part parce qu'elle appliquerait de manière inacceptable les principes dégagés par la jurisprudence fédérale en matière de fixation des sûretés. La recourante fait ainsi valoir qu'il ne lui est pas possible de démontrer abstraitement le dommage qu'elle subira, dans la mesure où celui-ci dépendra du taux d'intérêt applicable à chacune des opérations commerciales menées durant la période pendant laquelle ses fonds seront bloqués et pendant laquelle elle devra emprunter pour effectuer ses transactions. Ce taux d'intérêt correspondrait au moins à 4,5% sur un an et à 5,5% sur dix ans. S'y ajouteraient les frais d'opposition à l'ordonnance de séquestre et de participation à la procédure de validation de séquestre. Ainsi, la recourante subirait un dommage considérable et irréparable à raison de la non-augmentation des sûretés. En effet, si la procédure de mainlevée est en cours et devrait selon toute probabilité conduire à la libération des fonds séquestrés dans un délai relativement bref, la recourante n'aurait aucune chance, vu la situation financière de l'intimée et son absence de siège effectif, de récupérer le montant du dommage résultant du séquestre injustifié.</w:t>
      </w:r>
    </w:p>
    <w:p>
      <w:r>
        <w:rPr>
          <w:b/>
        </w:rPr>
        <w:t>E. 3.2</w:t>
      </w:r>
    </w:p>
    <w:p>
      <w:r>
        <w:t>Aux termes de l' art. 273 al. 1 LP , le créancier répond du dommage qu'un séquestre injustifié peut causer tant au débiteur qu'aux tiers; le juge peut l'astreindre à fournir des sûretés, dont les conditions et le contenu sont réglés par le droit fédéral ( ATF 112 III 112 consid. 2a). L'autorité apprécie librement s'il y a lieu d'imposer des sûretés ou de les augmenter, sous la seule réserve de l'interdiction de l'arbitraire (SJ 1987 p. 586, consid. 4 non publié aux ATF 113 III 94 ; ATF 112 III 112 consid. 2c; Gilliéron, Commentaire de la loi fédérale sur la poursuite pour dettes et la faillite, 2003, n. 27 ad art. 273 LP ; Stoffel, Kommentar zum Bundesgesetz über Schuldbetreibung und Konkurs, 1998, n. 20 ad art. 273 LP ). Le juge du séquestre astreindra le créancier à fournir des sûretés lorsque la créance ou le cas de séquestre sont douteux ( ATF 112 III 112 consid. 2a), autrement dit lorsqu'il ne peut pas exclure que les faits qu'il a retenus au stade de la vraisemblance soient autres ou qu'un examen approfondi conduise à une autre solution juridique que celle dictée par un examen sommaire (Gilliéron, op. cit., n. 27 et 37 ad art. 273 LP ). Il s'ensuit qu'il n'y aura normalement pas lieu d'imposer la prestation de sûretés lorsque le créancier peut se fonder sur un jugement exécutoire (Stoffel, op. cit., n. 21 ad art. 273 LP ). Les sûretés prévues à l' art. 273 al. 1 LP sont destinées à garantir la prétention en dommages-intérêts du débiteur séquestré, laquelle découle de l'indisponibilité frappant ses droits patrimoniaux ( ATF 113 III 94 consid. 9, 10a et 11a). Leur montant dépend donc du dommage éventuel dont est menacé le débiteur en cas de séquestre injustifié ( ATF 113 III 94 consid. 12; 93 I 278 consid. 5b et les arrêts cités; Gilliéron, op. cit., n. 36 ad art. 273 LP ; Stoffel, op. cit., n. 22 ad art. 273 LP ). Parmi les éléments pertinents pour apprécier ce dommage éventuel figurent la durée prévisible du procès en validation de séquestre ainsi que les intérêts des emprunts que le débiteur peut devoir contracter pour pallier la privation de ses avoirs ( ATF 113 III 94 consid. 11a et 11b). Selon la doctrine, un montant équivalent à deux années d'intérêt devrait souvent se révéler justifié (Stoffel, op. cit., n. 22 ad art. 273 LP et la référence citée). Le dommage dont les sûretés visent à garantir la réparation comprend en outre les frais exposés dans les procédures de validation du séquestre et d'opposition à l'ordonnance de séquestre ( ATF 113 III 94 consid. 9b et 9c et les références citées; Gilliéron, op. cit., n. 36 ad art. 273 LP ; Stoffel, op. cit., n. 22 ad art. 273 LP et les références citées).</w:t>
      </w:r>
    </w:p>
    <w:p>
      <w:r>
        <w:rPr>
          <w:b/>
        </w:rPr>
        <w:t>E. 3.3</w:t>
      </w:r>
    </w:p>
    <w:p>
      <w:r>
        <w:t>En l'occurrence, la cour cantonale a considéré que, vu l'issue du litige, il n'y avait pas lieu de considérer comme douteux le séquestre requis (cf. lettre E.g supra). Cette opinion est à tout le moins soutenable, dès lors que les juges cantonaux ont pu retenir sans arbitraire que le séquestre requis sur la base de la décision arbitrale du 2 décembre 2003 se fondait sur un jugement exécutoire au sens de l' art. 271 al. 1 ch. 4 LP - ce qui exclut en principe que ce séquestre puisse se révéler injustifié (cf. consid. 3.2 supra) - et que la recourante n'avait pas rendu vraisemblable l'existence de motifs qui permettraient de refuser la reconnaissance et l'exécution en Suisse de cette décision arbitrale (cf. consid. 2 supra). Dans ces conditions, la décision de ne pas augmenter le montant des sûretés requises - seule question que devait trancher la cour cantonale, en l'absence d'opposition de l'intimée à la fourniture de sûretés à concurrence de 5'000 fr. (cf. ATF 126 III 485 consid. 2a/aa) - ne saurait être qualifiée d'arbitraire, indépendamment du montant des sûretés requises au moment du séquestre. On observera au surplus, s'agissant de la quotité des sûretés, qu'on ne discerne pas comment la recourante peut réclamer des sûretés correspondant à dix ans d'intérêts, alors qu'elle expose elle-même que la procédure de mainlevée devrait aboutir "dans un délai relativement bref" à la libération des fonds séquestrés. En effet, soit la décision sur la mainlevée définitive rendra le séquestre caduc (cf. art. 280 ch. 3 LP ), auquel cas les intérêts des emprunts que la recourante aurait été obligée de contracter pour pallier la privation de ses avoirs ne devraient pas dépasser le montant des sûretés fournies au moment du séquestre, soit elle confirmera le bien-fondé du séquestre et permettra à l'intimée de requérir la continuation de la poursuite (cf. art. 279 al. 3 LP ).</w:t>
      </w:r>
    </w:p>
    <w:p>
      <w:r>
        <w:rPr>
          <w:b/>
        </w:rPr>
        <w:t>E. 4</w:t>
      </w:r>
    </w:p>
    <w:p>
      <w:r>
        <w:t>Il résulte de ce qui précède que le recours, mal fondé en tant qu'il est recevable, doit être rejeté dans cette même mesure. La recourante, qui succombe, supportera les frais judiciaires ( art. 156 al. 1 OJ ). Elle versera en outre des dépens à l'intimée pour les seuls frais indispensables que celle-ci a assumés en relation avec la procédure devant le Tribunal fédéral ( art. 159 al. 1 et 2 OJ ), à savoir pour ses déterminations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