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5P.34/2002 vom 19. April 2002</w:t>
      </w:r>
    </w:p>
    <w:p>
      <w:r>
        <w:t>Bundesgericht, 2002-04-19, DE</w:t>
      </w:r>
    </w:p>
    <w:p>
      <w:r>
        <w:rPr>
          <w:b/>
        </w:rPr>
        <w:t xml:space="preserve">Quelle: </w:t>
      </w:r>
      <w:r>
        <w:t>https://mcp.opencaselaw.ch/entscheid/bger_5P.34_2002</w:t>
      </w:r>
    </w:p>
    <w:p>
      <w:r>
        <w:t>FR: TF 5P.34/2002 du 19 avril 2002</w:t>
      </w:r>
    </w:p>
    <w:p>
      <w:r>
        <w:t>IT: TF 5P.34/2002 del 19 aprile 2002</w:t>
      </w:r>
    </w:p>
    <w:p>
      <w:pPr>
        <w:pStyle w:val="Heading2"/>
      </w:pPr>
      <w:r>
        <w:t>Regeste</w:t>
      </w:r>
    </w:p>
    <w:p>
      <w:r>
        <w:t>Schuldbetreibungs- und Konkursrecht</w:t>
      </w:r>
    </w:p>
    <w:p>
      <w:pPr>
        <w:pStyle w:val="Heading2"/>
      </w:pPr>
      <w:r>
        <w:t>Erwägungen</w:t>
      </w:r>
    </w:p>
    <w:p>
      <w:r>
        <w:rPr>
          <w:b/>
        </w:rPr>
        <w:t>E. 1</w:t>
      </w:r>
    </w:p>
    <w:p>
      <w:r>
        <w:t>Die Beschwerdeführer haben am 16. Januar 2002 Kenntnis vom angefochtenen Entscheid erhalten und am Folgetag die Akten einsehen können. Sowohl die zehntägige Beschwerdefrist nach Art. 19 SchKG wie auch die Frist von dreissig Tagen zur Erhebung der staatsrechtlichen Beschwerde ( Art. 89 Abs. 1 OG ) sind mit der am 28. Januar 2002 (Montag) der schweizerischen Post übergebenen Eingabe gewahrt.</w:t>
      </w:r>
    </w:p>
    <w:p>
      <w:r>
        <w:rPr>
          <w:b/>
        </w:rPr>
        <w:t>E. 2</w:t>
      </w:r>
    </w:p>
    <w:p>
      <w:r>
        <w:t>Die Vereinigung einer Beschwerde in Schuldbetreibungs- und Konkurssachen und einer staatsrechtlichen Beschwerde in einer einzigen Eingabe ist unter der Voraussetzung zulässig, dass die wesentlichen Elemente jedes der beiden Rechtsmittel klar auseinander gehalten werden (dazu BGE 120 III 64 E. 2 S. 65 f.; 113 III 120 E. 1 S. 121). Das ist hier der Fall, so dass der Entgegennahme der beiden Rechtsmittel nichts entgegensteht. Die staatsrechtliche Beschwerde, welche die Beschwerdeführer in erster Linie erheben, ist vorweg zu behandeln (vgl. auch Art. 57 Abs. 5 in Verbindung mit Art. 81 OG ). Sie ist auch zulässig, kann doch eine Gehörsverweigerung nur insoweit mit betreibungsrechtlicher Beschwerde gerügt werden, als geltend gemacht wird, die Begründung des angefochtenen Entscheids entspreche den Anforderungen von Art. 20a Abs. 2 Ziff. 4 SchKG nicht.</w:t>
      </w:r>
    </w:p>
    <w:p>
      <w:r>
        <w:rPr>
          <w:b/>
        </w:rPr>
        <w:t>E. 3</w:t>
      </w:r>
    </w:p>
    <w:p>
      <w:r>
        <w:t>Die Rüge der Gehörsverweigerung ( Art. 29 Abs. 2 BV ) ist begründet: Dem angefochtenen Entscheid liegt eine Verfügung des Betreibungsamtes zugrunde, die ihrerseits auf einem Begehren der Beschwerdeführer beruhte und diesen Rechte an den Mietzinseinnahmen einräumte. Mit der Aufhebung der Verfügung durch die kantonale Aufsichtsbehörde wurde die Rechtsstellung der Beschwerdeführer zu deren Nachteil verändert, ohne dass sie Gelegenheit gehabt hätten, sich zu äussern. Darin liegt eine Verletzung des Anspruchs auf rechtliches Gehör, die zur Aufhebung des angefochtenen Entscheids führen muss (vgl. BGE 105 III 33 E. 2 S. 33 f. mit Hinweisen).</w:t>
      </w:r>
    </w:p>
    <w:p>
      <w:r>
        <w:rPr>
          <w:b/>
        </w:rPr>
        <w:t>E. 4</w:t>
      </w:r>
    </w:p>
    <w:p>
      <w:r>
        <w:t>Mit der Gutheissung der staatsrechtlichen Beschwerde wird die betreibungsrechtliche Beschwerde gegenstandslos.</w:t>
      </w:r>
    </w:p>
    <w:p>
      <w:r>
        <w:rPr>
          <w:b/>
        </w:rPr>
        <w:t>E. 5</w:t>
      </w:r>
    </w:p>
    <w:p>
      <w:r>
        <w:t>Die Beschwerdegegner, die übrigens die Gutheissung der staatsrechtlichen Beschwerde beantragt (Y.________) bzw. sich eines Antrags zu dieser Beschwerde enthalten haben (Bank Z.________), haben den Ausgang des Verfahrens nicht zu vertreten. Sie sind nicht unterliegende Partei im Sinne von Art. 156 Abs. 1 OG . Der angefochtene Entscheid ist wegen eines Versehens der kantonalen Aufsichtsbehörde aufzuheben. Dem Kanton, gegen dessen Verfügung in einer nicht seine eigenen Vermögensinteressen betreffenden Angelegenheit Beschwerde geführt wird, dürfen in der Regel jedoch keine Gerichtskosten auferlegt werden ( Art. 156 Abs. 2 OG ). Hingegen ist der Kanton Bern zu verpflichten, den Beschwerdeführern für das bundesgerichtliche Verfahren eine Parteientschädigung auszurichten ( Art. 159 Abs. 2 OG ). Bei deren Bemessung ist nur dem Aufwand für die staatsrechtliche Beschwerde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