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5P.349/2006 vom 7. September 2006</w:t>
      </w:r>
    </w:p>
    <w:p>
      <w:r>
        <w:t>Bundesgericht, 2006-09-07, DE</w:t>
      </w:r>
    </w:p>
    <w:p>
      <w:r>
        <w:rPr>
          <w:b/>
        </w:rPr>
        <w:t xml:space="preserve">Quelle: </w:t>
      </w:r>
      <w:r>
        <w:t>https://mcp.opencaselaw.ch/entscheid/bger_5P.349_2006</w:t>
      </w:r>
    </w:p>
    <w:p>
      <w:r>
        <w:t>FR: TF 5P.349/2006 du 7 septembre 2006</w:t>
      </w:r>
    </w:p>
    <w:p>
      <w:r>
        <w:t>IT: TF 5P.349/2006 del 7 settembre 2006</w:t>
      </w:r>
    </w:p>
    <w:p>
      <w:pPr>
        <w:pStyle w:val="Heading2"/>
      </w:pPr>
      <w:r>
        <w:t>Regeste</w:t>
      </w:r>
    </w:p>
    <w:p>
      <w:r>
        <w:t>Art. 9 BV etc. (fürsorgerische Freiheitsentziehung) | Familienrecht</w:t>
      </w:r>
    </w:p>
    <w:p>
      <w:pPr>
        <w:pStyle w:val="Heading2"/>
      </w:pPr>
      <w:r>
        <w:t>Erwägungen</w:t>
      </w:r>
    </w:p>
    <w:p>
      <w:r>
        <w:rPr>
          <w:b/>
        </w:rPr>
        <w:t>E. 1</w:t>
      </w:r>
    </w:p>
    <w:p>
      <w:r>
        <w:t>Das Obergericht verweist auf den schlechten körperlichen Gesundheitszustand der Beschwerdeführerin bei der Einweisung. Nach den Feststellungen des Obergerichts ist überdies davon auszugehen, dass die Beschwerdeführerin als chronische Alkoholikerin bei einer sofortigen Entlassung infolge Alkoholexzesses wiederum stürzen und sich verletzen könnte. Die wegen Trombosengefahr indizierte Blutverdünnung bedeute bei Stürzen Lebensgefahr. Dass die Blutverdünnung, mithin einer der Gefährdungsfaktoren, zur Zeit abgesetzt sei, ändere an der festgestellten erheblichen Gesundheitsgefährdung nichts. Zum Einwand der Beschwerdeführerin, es könnten nicht alle mit Blutverdünnungsmitteln behandelte Patienten hospitalisiert werden, gab das Obergericht die infolge schwerer Alkoholabhängigkeit erhöhte Sturzgefahr zu bedenken (Beschluss II S. 5). Die Beschwerdeführerin rügt im Wesentlichen, es habe keinen Sinn sie immer wieder zwangsweise zu hospitalisieren, sei sie doch als Alkoholikerin unheilbar; alle Versuche, sie zu therapieren und sozial einzugliedern, seien zum Scheitern verurteilt. In diesem Zusammenhang wirft sie dem Obergericht eine Verletzung ihres Rechts auf persönliche Freiheit ( Art. 10 Abs. 2 BV und Art. 5 EMRK ) infolge Unverhältnismässigkeit des Eingriffes vor (Beschwerde S. 10-12 bb. I.).</w:t>
      </w:r>
    </w:p>
    <w:p>
      <w:r>
        <w:rPr>
          <w:b/>
        </w:rPr>
        <w:t>E. 1.1</w:t>
      </w:r>
    </w:p>
    <w:p>
      <w:r>
        <w:t>Die Missachtung der von der Beschwerdeführerin angerufenen Garantien bedeutet in erster Linie eine Verletzung der Bestimmungen über die fürsorgerische Freiheitsentziehung ( Art. 397a ff. ZGB ), die als Verletzung von Bundesrecht vor Bundesgericht mit Berufung geltend zu machen ist ( BGE 115 II 129 E. 5a S. 131 in fine). Dass bei der Einweisung allenfalls kantonale Verfahrensbestimmungen willkürlich verletzt worden wären, legt die Beschwerdeführerin nicht substanziiert dar ( Art. 90 Abs. 1 lit. b OG ; BGE 119 Ia 197 E. d S. 201; 120 Ia 369 E. 3a ; 123 I 1 E. 4a; 127 III 279 E. 1c S. 282, mit Hinweisen ; 128 I 295 E. 7a S. 312). Ebenso wenig behauptet sie, dass ihr die Verfassungs- und Konventionsgarantien einen weitergehenden Schutz gewähren als die Bestimmungen über die fürsorgerische Freiheitsentziehung. Insoweit ist daher auf die staatsrechtliche Beschwerde nicht einzutreten.</w:t>
      </w:r>
    </w:p>
    <w:p>
      <w:r>
        <w:rPr>
          <w:b/>
        </w:rPr>
        <w:t>E. 1.2</w:t>
      </w:r>
    </w:p>
    <w:p>
      <w:r>
        <w:t>Abgesehen davon übersieht die Beschwerdeführerin, dass sie nicht zwecks Therapie ihrer Alkoholsucht eingewiesen worden ist, sondern wegen des hohen Eigengefährdungspotentials, wobei das Risiko der Eigengefährdung bei sofortiger Entlassung als sehr hoch eingestuft wird. Massgebend war entgegen der Auffassung der Beschwerdeführerin auch nicht der Umstand, dass sie sich mit ihrem exzessiven Alkoholkonsum langsam umzubringen droht, sondern die infolge der Alkoholexzesse erhöhte Sturzgefahr, die wegen der medikamentösen Behandlung unmittelbar zu lebensgefährlichen Blutungen führen könnte. Soweit die Beschwerdeführerin auf das Sturzrisiko in der Anstalt selbst hinweist, handelt es sich einerseits um appellatorische, im Verfahren der staatsrechtlichen Beschwerde unzulässige Kritik am angefochtenen Entscheid ( BGE 125 I 492 E. 1b S. 495 ; 130 I 258 E. 1.3 S. 262); anderseits lässt sich mit diesem Argument der erhöhten Gefährdung bei exzessivem Alkoholkonsum nicht begegnen.</w:t>
      </w:r>
    </w:p>
    <w:p>
      <w:r>
        <w:rPr>
          <w:b/>
        </w:rPr>
        <w:t>E. 2</w:t>
      </w:r>
    </w:p>
    <w:p>
      <w:r>
        <w:t>Das Obergericht hat der Beschwerdeführerin die unentgeltliche Rechtspflege und Verbeiständung für beide Instanzen verweigert. Die Beschwerdeführerin macht geltend, sie habe in den Rechtsschriften Argumente vorgetragen, weshalb sie auf einen Rechtsbeistand angewiesen sei. Das Obergericht habe die Frage der Notwendigkeit des Rechtsbeistands offen gelassen, da sich die Sache als aussichtslos erweise und der Anspruch auf unentgeltliche Rechtsvertretung somit für beide Instanzen zu verweigern sei. Weshalb die Sache aussichtslos sei, werde nicht begründet. Damit habe das Obergericht den Anspruch auf rechtliches Gehör ( Art. 29 Abs. 2 BV ) bzw. auf ein faires Verfahren ( Art. 6 Ziff. 1 EMRK ) verletzt (Beschwerde S. 12-14 bb II.). Aus dem obergerichtlichen Entscheid ergibt sich, dass der Standpunkt der Beschwerdeführerin im Verfahren sowohl hinsichtlich der fürsorgerischen Freiheitsentziehung als auch mit Bezug auf das Feststellungsbegehren als aussichtslos gegolten hat. Fehlte aber eine der kumulativen Voraussetzung für die unentgeltliche Rechtspflege (erwiesene Bedürftigkeit der Gesuchstellerin und ein nicht aussichtsloses Verfahren), erübrigten sich Ausführungen zu Frage der Notwendigkeit der unentgeltlichen Verbeiständung. Das Obergericht war somit nicht gehalten, sich zu den in der Sache nicht wesentlichen Argumenten der Beschwerdeführerin zu äussern ( BGE 130 II 530 E. 4.3 S. 540). Der Vorwurf der Verletzung des rechtlichen Gehörs bzw. des Fairnessgebots erweist sich als unbegründet.</w:t>
      </w:r>
    </w:p>
    <w:p>
      <w:r>
        <w:rPr>
          <w:b/>
        </w:rPr>
        <w:t>E. 3</w:t>
      </w:r>
    </w:p>
    <w:p>
      <w:r>
        <w:t>Die Ausführungen zur Notwendigkeit der Verbeiständung unter Hinweis auf den immensen Aktenberg und die Schwere des Eingriffs gehen an der Sache vorbei, wenn die Sache aussichtslos ist, wie das Obergericht angenommen hat. Mit dem Hinweis, dass die erste Instanz die unentgeltliche Prozessführung bewilligt habe und nirgends darauf hingewiesen worden sei, dass sich das Verfahren als aussichtslos gestalte, ist nicht substantiiert darzulegen, inwiefern die Verfassungs- bzw. die Konventionsbestimmung betreffend die unentgeltliche Rechtspflege ( Art. 29 Abs. 3 BV und Art. 6 Ziff. 1 EMRK ) verletzt worden ist. Dem Erfordernis einer hinreichenden formellen Begründung wird überdies auch nicht mit dem Hinweis auf ein angeordnetes Gutachten Genüge getan ( BGE 119 Ia 197 E. d S. 201; 120 Ia 369 E. 3a ; 123 I 1 E. 4a; 127 III 279 E. 1c S. 282, mit Hinweisen ; 128 I 295 E. 7a S. 312 ; 130 I 258 E. 1.3). Auf die ungenügend begründete Rüge ist nicht einzutreten.</w:t>
      </w:r>
    </w:p>
    <w:p>
      <w:r>
        <w:rPr>
          <w:b/>
        </w:rPr>
        <w:t>E. 4</w:t>
      </w:r>
    </w:p>
    <w:p>
      <w:r>
        <w:t>Damit ist die staatsrechtliche Beschwerde abzuweisen, soweit darauf eingetreten werden kann. Bei diesem Ausgang des Verfahrens trägt die Beschwerdeführerin die Kosten ( Art. 156 Abs. 1 OG ).</w:t>
      </w:r>
    </w:p>
    <w:p>
      <w:r>
        <w:rPr>
          <w:b/>
        </w:rPr>
        <w:t>E. 5</w:t>
      </w:r>
    </w:p>
    <w:p>
      <w:r>
        <w:t>Das Gesuch der Beschwerdeführerin um unentgeltliche Rechtspflege ist wegen offensichtlicher Aussichtslosigkeit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