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5P.320/2002 vom 16. Oktober 2002</w:t>
      </w:r>
    </w:p>
    <w:p>
      <w:r>
        <w:t>Bundesgericht, 2002-10-16, DE</w:t>
      </w:r>
    </w:p>
    <w:p>
      <w:r>
        <w:rPr>
          <w:b/>
        </w:rPr>
        <w:t xml:space="preserve">Quelle: </w:t>
      </w:r>
      <w:r>
        <w:t>https://mcp.opencaselaw.ch/entscheid/bger_5P.320_2002</w:t>
      </w:r>
    </w:p>
    <w:p>
      <w:r>
        <w:t>FR: TF 5P.320/2002 du 16 octobre 2002</w:t>
      </w:r>
    </w:p>
    <w:p>
      <w:r>
        <w:t>IT: TF 5P.320/2002 del 16 ottobre 2002</w:t>
      </w:r>
    </w:p>
    <w:p>
      <w:pPr>
        <w:pStyle w:val="Heading2"/>
      </w:pPr>
      <w:r>
        <w:t>Regeste</w:t>
      </w:r>
    </w:p>
    <w:p>
      <w:r>
        <w:t>Familienrecht</w:t>
      </w:r>
    </w:p>
    <w:p>
      <w:pPr>
        <w:pStyle w:val="Heading2"/>
      </w:pPr>
      <w:r>
        <w:t>Erwägungen</w:t>
      </w:r>
    </w:p>
    <w:p>
      <w:r>
        <w:rPr>
          <w:b/>
        </w:rPr>
        <w:t>E. 1</w:t>
      </w:r>
    </w:p>
    <w:p>
      <w:r>
        <w:t>Die staatsrechtliche Beschwerde ist nur gegen letztinstanzliche kantonale Entscheide zulässig ( Art. 86 Abs. 1 OG ). Soweit sie sich nicht nur gegen den Entscheid des Kantonsgerichts, sondern darüber hinaus gegen die Entscheide des Bezirksgerichtsausschusses Maloja und der Vormundschaftsbehörde des Kreises Oberengadin richtet, ist darauf nicht einzutreten.</w:t>
      </w:r>
    </w:p>
    <w:p>
      <w:r>
        <w:rPr>
          <w:b/>
        </w:rPr>
        <w:t>E. 2.1</w:t>
      </w:r>
    </w:p>
    <w:p>
      <w:r>
        <w:t>Die Beschwerdeführerin rügt eine Verletzung des Anspruchs auf rechtliches Gehör ( Art. 29 Abs. 2 BV ).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 124 I 241 E. 2 mit Hinweisen). Der Anspruch auf rechtliches Gehör als persönlichkeitsbezogenes Mitwirkungsrecht verlangt ausserdem,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112 Ia 109 E. 2b, mit Hinweisen; vgl. auch BGE 114 Ia 233 E. 2d S. 242).</w:t>
      </w:r>
    </w:p>
    <w:p>
      <w:r>
        <w:rPr>
          <w:b/>
        </w:rPr>
        <w:t>E. 2.2</w:t>
      </w:r>
    </w:p>
    <w:p>
      <w:r>
        <w:t>Eine Verletzung des rechtlichen Gehörs sieht die Beschwerdeführerin darin, dass weder sie selbst noch der Beirat zu dessen Absetzung angehört worden seien. Der Vorwurf trifft nicht zu, denn der Beirat ist, wie schon das Kantonsgericht ausgeführt hat, anlässlich der Verhandlung des Bezirksgerichtsausschusses Maloja mit der Möglichkeit einer Amtsenthebung konfrontiert worden. Nichts hätte sodann die Beschwerdeführerin selber oder ihren Anwalt daran gehindert, sich ebenfalls zu der Frage zu äussern. Im Übrigen konnte das Kantonsgericht den Sachverhalt und die Rechtslage frei überprüfen, so dass ein allfälliger Mangel als geheilt gelten könnte ( BGE 126 I 68 E. 2; 126 V 130 E. 2b), wie ebenfalls schon das Kantonsgericht festgehalten hat.</w:t>
      </w:r>
    </w:p>
    <w:p>
      <w:r>
        <w:rPr>
          <w:b/>
        </w:rPr>
        <w:t>E. 2.3</w:t>
      </w:r>
    </w:p>
    <w:p>
      <w:r>
        <w:t>Die Beschwerdeführerin macht ferner geltend, die Begründungspflicht sei dadurch verletzt worden, dass sich das Kantonsgericht nicht zu möglichen milderen Massnahmen geäussert habe. Diese lägen darin, dass die Geschäfte im Zusammenhang mit dem Projekt "X.________" durch die Vormundschaftsbehörde genau überprüft werden könnten oder allenfalls Dr. P.________ als weiterer Berater beigezogen würde. Die Beschwerdeführerin übersieht, dass das Kantonsgericht seiner Begründungspflicht nachgekommen ist, indem es ausführlich dargelegt hat, weshalb nicht nur ein Beistand ad hoc zu bestellen, sondern der bisherige Beirat auch seines Amtes enthoben werden musste, weil nicht nur eine Interessenkollision im Zusammenhang mit dem Projekt "X.________" vorliegt, sondern er seine Pflichten als Beirat auch grob verletzte. Es sei nur darauf verwiesen, dass das Wertschriftenvermögen von Fr. 970'000.-- im Jahre 1995 und noch Fr. 630'000.-- im Jahre 1998 mittlerweile aufgebraucht ist, was nichts anderes bedeutet, als dass der Beirat die ihm übertragene Aufgabe schlechthin nicht wahrgenommen hat. Es liegt auf der Hand, dass es angesichts dieser Sachlage nicht noch notwendig war, ausführlich zu begründen, weshalb eine mildere Massnahme als die Absetzung des Beirats - welcher Art auch immer - unzureichend wäre. Das versteht sich vielmehr von selbst.</w:t>
      </w:r>
    </w:p>
    <w:p>
      <w:r>
        <w:rPr>
          <w:b/>
        </w:rPr>
        <w:t>E. 3</w:t>
      </w:r>
    </w:p>
    <w:p>
      <w:r>
        <w:t>Schliesslich beruft sich die Beschwerdeführerin auf Art. 9 BV , wonach jede Person Anspruch darauf hat, von den staatlichen Organen ohne Willkür und nach Treu und Glauben behandelt zu werden, denn es sei widersprüchlich, eine Beistandschaft ad hoc wegen Interessenkollision des Beirats zu errichten, zugleich aber den Beirat abzusetzen. Das Kantonsgericht hat in seinem Entscheid zunächst geprüft, ob die Voraussetzungen einer Beistandschaft ad hoc infolge Interessenkollision gegeben ist. Es hat alsdann weiter geprüft, ob darüber hinaus auch die vom Bezirksgerichtsausschuss Maloja angeordnete Amtsenthebung des Beirats rechtmässig ist. Da beides zu bejahen war, wies das Kantonsgericht die Beschwerde ab. Es ist zutreffend, dass es infolge der Amtsenthebung des Beirats durch den Bezirksgerichtsausschuss Maloja einer Beistandschaft, wie sie von der Vormundschaftsbehörde angeordnet wurde, für die Zukunft nicht mehr bedarf. Das ändert allerdings nichts daran, dass das Kantonsgericht die Rechtmässigkeit der Errichtung einer Beistandschaft zu prüfen hatte, zumal den kantonalen Rechtsmitteln die aufschiebende Wirkung entzogen worden war und die getroffene Massnahme folglich sofort Wirkung zu entfalten vermochte. Es ist auch davon auszugehen, dass bis zur Ernennung eines neuen Beirats die Beschwerdeführerin, deren Handlungsfähigkeit beschränkt ist, darauf angewiesen ist, dass ein Beistand ihre Interessen wenigstens für das Projekt "X.________" wahrnimmt. Insofern liegt kein Widerspruch vor, wenn das Kantonsgericht die Beschwerde sowohl bezüglich der Errichtung der Beistandschaft ad hoc wie auch bezüglich der Amtsenthebung des Beirats abgewiesen hat.</w:t>
      </w:r>
    </w:p>
    <w:p>
      <w:r>
        <w:rPr>
          <w:b/>
        </w:rPr>
        <w:t>E. 4</w:t>
      </w:r>
    </w:p>
    <w:p>
      <w:r>
        <w:t>Weitere, substantiiert begründete Rügen ( Art. 90 Abs. 1 lit. b OG ; BGE 110 Ia 1 E. 2a) erhebt die Beschwerdeführerin nicht. Die staatsrechtliche Beschwerde ist somit abzuweisen, soweit darauf einzutreten ist. Diesem Verfahrensausgang entsprechend hat die Beschwerdeführerin die bundesgerichtlichen Kosten zu tragen ( Art. 156 Abs. 1 OG ). Sie stellt zwar ein Gesuch um unentgeltliche Rechtspflege und Verbeiständung ( Art. 152 ZGB ). Dieses kann jedoch nicht gutgeheissen werden, da das Begehren zum Vornherein als aussichtslos bezeichnet werden muss und im Übrigen auch die Bedürftigkeit nicht ausgewiesen ist. Unter Berücksichtigung des Grundbetrags für ein Ehepaar von Fr. 1'550.--, einem zivilprozessualen Zuschlag von 25 % (vgl. BGE 124 I 1 E. 2a), d.h. Fr. 387.50, dem Mietzins von Fr. 1'590.--, den Heizkosten von Fr. 300.--, den Krankenkassenbeiträgen von Fr. 595.-- sowie Steuern von Fr. 300.--, ergibt sich ein zivilprozessualer Bedarf von Fr. 4'722.50. Nicht zu berücksichtigen sind die Kosten für einen Personenwagen; eines solchen bedarf es für Arztbesuche nicht. Bei einem Renteneinkommen von Fr. 6'000.-- können die Kosten des vorliegenden Verfahrens innert angemessener Frist abgetragen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