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5P.317/2002 vom 30. Oktober 2002</w:t>
      </w:r>
    </w:p>
    <w:p>
      <w:r>
        <w:t>Bundesgericht, 2002-10-30, DE</w:t>
      </w:r>
    </w:p>
    <w:p>
      <w:r>
        <w:rPr>
          <w:b/>
        </w:rPr>
        <w:t xml:space="preserve">Quelle: </w:t>
      </w:r>
      <w:r>
        <w:t>https://mcp.opencaselaw.ch/entscheid/bger_5P.317_2002</w:t>
      </w:r>
    </w:p>
    <w:p>
      <w:r>
        <w:t>FR: TF 5P.317/2002 du 30 octobre 2002</w:t>
      </w:r>
    </w:p>
    <w:p>
      <w:r>
        <w:t>IT: TF 5P.317/2002 del 30 ottobre 2002</w:t>
      </w:r>
    </w:p>
    <w:p>
      <w:pPr>
        <w:pStyle w:val="Heading2"/>
      </w:pPr>
      <w:r>
        <w:t>Regeste</w:t>
      </w:r>
    </w:p>
    <w:p>
      <w:r>
        <w:t>Schuldbetreibungs- und Konkursrecht</w:t>
      </w:r>
    </w:p>
    <w:p>
      <w:pPr>
        <w:pStyle w:val="Heading2"/>
      </w:pPr>
      <w:r>
        <w:t>Erwägungen</w:t>
      </w:r>
    </w:p>
    <w:p>
      <w:r>
        <w:rPr>
          <w:b/>
        </w:rPr>
        <w:t>E. 1</w:t>
      </w:r>
    </w:p>
    <w:p>
      <w:r>
        <w:t>Beim Entscheid über ein Ablehnungsbegehren handelt es sich um einen Zwischenentscheid, der nicht mit einer Beschwerde nach Art. 19 SchKG , sondern einzig mit einer staatsrechtlicher Beschwerde anfechtbar ist (Entscheid der Schuldbetreibungs- und Konkurskammer des Bundesgerichts vom 2. März 1999, publiziert in Rep, 1999 132 77, mit Hinweisen).</w:t>
      </w:r>
    </w:p>
    <w:p>
      <w:r>
        <w:rPr>
          <w:b/>
        </w:rPr>
        <w:t>E. 2.1</w:t>
      </w:r>
    </w:p>
    <w:p>
      <w:r>
        <w:t>Der Beschwerdeführer wirft dem Obergericht vor, seinen Entscheid nicht hinlänglich begründet und damit sein rechtliches Gehör verletzt zu haben. Es habe sein Vorbringen nicht geprüft und nehme zu seiner Beziehung zum Gericht im Sinne von Art. 30 Abs. 2 BV und Art. 6 EMRK überhaupt nicht Stellung.</w:t>
      </w:r>
    </w:p>
    <w:p>
      <w:r>
        <w:rPr>
          <w:b/>
        </w:rPr>
        <w:t>E. 2.2</w:t>
      </w:r>
    </w:p>
    <w:p>
      <w:r>
        <w:t>Das Obergericht stellte fest, dass der Präsident des Bezirksgerichts Aarau in Erfüllung seiner Amtspflicht im Jahre 1998 gegen den Beschwerdeführer eine Strafanzeige eingereicht habe. Nunmehr habe er auf Beschwerde desselben die korrekte Durchführung der Pfandverwertung vom 17. Juni 2002 zu beurteilen. Es bestehe kein Zusammenhang zwischen den beiden Verfahren. Damit hat es gerade auf den Vorwurf im Ablehnungsbegehren geantwortet, dass zwischen dem Strafverfahren und dem Pfandverwertungsverfahren eine enge sachliche und persönliche Beziehung bestehe. Insoweit ist die Rüge nicht nachvollziehbar.</w:t>
      </w:r>
    </w:p>
    <w:p>
      <w:r>
        <w:rPr>
          <w:b/>
        </w:rPr>
        <w:t>E. 3.1</w:t>
      </w:r>
    </w:p>
    <w:p>
      <w:r>
        <w:t>Weiter sieht der Beschwerdeführer Art. 30 Abs. 2 und Art. 6 EMRK verletzt, da das Obergericht am 26. Oktober 2000 seinem Ablehnungsbegehren gegen den Präsidenten des Bezirksgerichts Aarau im Rechtsöffnungs- und anschliessenden Ab- oder Anerkennungsverfahren mit Hinweis auf dessen Strafanzeige stattgegeben habe, welches der nunmehr zu beurteilenden Pfandverwertung zugrunde liege.</w:t>
      </w:r>
    </w:p>
    <w:p>
      <w:r>
        <w:rPr>
          <w:b/>
        </w:rPr>
        <w:t>E. 3.2</w:t>
      </w:r>
    </w:p>
    <w:p>
      <w:r>
        <w:t>Wie das Obergericht zu Recht festhält, besteht keinerlei Zusammenhang zwischen der Strafanzeige und damit dem persönlichen Verhalten des Beschwerdeführers und der vollstreckungsrechtlich konformen Durchführung der Pfandverwertung. Insoweit geht es auch nicht um die (erneute) Beurteilung desselben Grundsachverhalts, wie dieser meint. Ein Gericht kann sich durchaus unter verschiedenen Gesichtspunkten mit der gleichen Angelegenheit befassen, ohne damit als befangen zu gelten ( BGE 120 Ia 184 E. 2e). Damit braucht auch auf die Frage der behördlichen Anzeigepflicht nicht eingegangen zu werden.</w:t>
      </w:r>
    </w:p>
    <w:p>
      <w:r>
        <w:rPr>
          <w:b/>
        </w:rPr>
        <w:t>E. 4</w:t>
      </w:r>
    </w:p>
    <w:p>
      <w:r>
        <w:t>Nach dem Gesagten ist der staatsrechtlichen Beschwerde kein Erfolg beschieden.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