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5P.314/2004 vom 1. November 2004</w:t>
      </w:r>
    </w:p>
    <w:p>
      <w:r>
        <w:t>Bundesgericht, 2004-11-01, DE</w:t>
      </w:r>
    </w:p>
    <w:p>
      <w:r>
        <w:rPr>
          <w:b/>
        </w:rPr>
        <w:t xml:space="preserve">Quelle: </w:t>
      </w:r>
      <w:r>
        <w:t>https://mcp.opencaselaw.ch/entscheid/bger_5P.314_2004</w:t>
      </w:r>
    </w:p>
    <w:p>
      <w:r>
        <w:t>FR: TF 5P.314/2004 du 1 novembre 2004</w:t>
      </w:r>
    </w:p>
    <w:p>
      <w:r>
        <w:t>IT: TF 5P.314/2004 del 1 novembre 2004</w:t>
      </w:r>
    </w:p>
    <w:p>
      <w:pPr>
        <w:pStyle w:val="Heading2"/>
      </w:pPr>
      <w:r>
        <w:t>Regeste</w:t>
      </w:r>
    </w:p>
    <w:p>
      <w:r>
        <w:t>Personenrecht</w:t>
      </w:r>
    </w:p>
    <w:p>
      <w:pPr>
        <w:pStyle w:val="Heading2"/>
      </w:pPr>
      <w:r>
        <w:t>Erwägungen</w:t>
      </w:r>
    </w:p>
    <w:p>
      <w:r>
        <w:rPr>
          <w:b/>
        </w:rPr>
        <w:t>E. 1.1</w:t>
      </w:r>
    </w:p>
    <w:p>
      <w:r>
        <w:t>Der Europäische Gerichtshof für Menschenrechte hat sich in seiner Rechtsprechung zu Art. 6 EMRK verschiedentlich mit der Frage der Zustellung von Aktenstücken befasst. In einem Fall, in dem das Bundesgericht über eine Berufung erkannt hatte, ohne zuvor dem Berufungskläger Kenntnis von den Bemerkungen der Vorinstanz gegeben zu haben, hat er entschieden, der in Art. 6 Ziff. 1 EMRK enthaltene Anspruch auf ein faires Verfahren verleihe den Parteien das Recht, von sämtlichen dem Gericht eingereichten Eingaben oder Vernehmlassungen Kenntnis zu erhalten und zu diesen Stellung zu nehmen. Unerheblich sei, dass die Vernehmlassung der Vorinstanz an das Bundesgericht weder Tatsachen noch Begründungen enthalte, die nicht bereits im angefochtenen Urteil aufgeführt gewesen seien. Es obliege den Parteien, zu entscheiden, ob sie zu einer Eingabe Bemerkungen anbringen oder nicht. Der Gerichtshof bejahte daher eine Verletzung von Art. 6 Ziff. 1 EMRK (Urteil des EGMR i.S. N.-H. gegen Schweiz vom 18. Februar 1997, Ziff. 24, 29, in: Recueil CourEDH 1997-I S. 101 ; VPB 61/1997 Nr. 108 S. 961). Diese Rechtsprechung ist später im Wesentlichen bestätigt worden (Urteil des EGMR i.S. R. gegen Schweiz vom 28. Juni 2001, in: VPB 65/2001, S. 1347 Nr. 129). Eine Verletzung von Art. 6 Ziff. 1 EMRK erblickte der Gerichtshof sodann in einem weiteren, die Schweiz betreffenden Fall, in dem der Rekurrent weder von der Stellungnahme der Vorinstanz noch von jener der Gegenpartei Kenntnis erhalten hatte; dabei hob er zusätzlich hervor, auf den möglichen tatsächlichen Einfluss von Bemerkungen der Parteien auf das Urteil komme es nicht an (Urteil des EGMR i.S. Z. gegen Schweiz vom 21. Februar 2002, Ziff. 33 und 38, in: VPB 66/2002 S. 1307 Nr. 113). Das Eidgenössische Versicherungsgericht hat sich der Praxis des Gerichtshofs angeschlossen (Urteil H 213 1998 vom 1. Februar 1999, E. 1a, auszugsweise in: SZIER 1999 S. 553). Das Bundesgericht hat diese Rechtsprechung später unter anderem in zwei den Kanton Thurgau betreffenden Fällen bestätigt (Urteile 5P.446/2003 und 5P.18/2004, je vom 2. März 2004).</w:t>
      </w:r>
    </w:p>
    <w:p>
      <w:r>
        <w:rPr>
          <w:b/>
        </w:rPr>
        <w:t>E. 1.2</w:t>
      </w:r>
    </w:p>
    <w:p>
      <w:r>
        <w:t>Das Obergericht bestreitet nicht, dass dem Beschwerdeführer die Vernehmlassung des Vizepräsidenten des Bezirksgerichts vom 16. Juni 2004 erstmals zusammen mit dem angefochtenen Beschluss zugestellt worden ist. Dies ist daher als erstellt zu betrachten, zumal der Beweis des Gegenteils nicht erbracht worden ist (vgl. zur Beweislast bezüglich der Zustellung BGE 117 V 261 E. 3b S. 264 mit Hinweis). Entgegen der Auffassung der Beschwerdegegnerinnen handelt es sich bei der Eingabe des Vizepräsidenten vom 16. Juni 2004 um eine Vernehmlassung im besagten Verfahren. Wie das Obergericht und die Beschwerdegegnerinnen zwar zu Recht bemerken, hat der Vizepräsident in seiner Vernehmlassung nicht auf Abweisung des Rekurses geschlossen. Doch enthält das Schreiben nicht nur einen Verweis auf die Motive der erstinstanzlichen Verfügung, wie dies die Erwägungen des angefochtenen Beschlusses vorgeben, und es handelt sich dabei auch nicht lediglich um eine Information über das Nichteinreichen einer Kostennote, wie die Beschwerdegegnerinnen behaupten. In seinen ergänzenden Bemerkungen hat der Vizepräsident vielmehr zur wesentlichen Streitfrage des Rekurses, zur Parteikostenentschädigung, Stellung genommen und begründet, weshalb seiner Ansicht nach Ausgaben für Privatgutachten im Rahmen der Parteientschädigung nicht berücksichtigt werden können. Ob diese Ausführungen letztlich in das Urteil eingeflossen sind, ist nach der zitierten Rechtsprechung unerheblich. Abgesehen davon ist fraglich, ob sich dieses Schreiben nicht auf den Beschluss ausgewirkt hat, zumal darin zum Teil die gleiche Argumentationslinie vertreten wird. Im Lichte der aufgezeigten Rechtsprechung hat das Obergericht den Anspruch des Beschwerdeführers auf ein faires Verfahren verletzt. Da das Bundesgericht in der Sache nicht über die gleiche Kognition wie das Obergericht verfügt, kommt eine Heilung des Mangels nicht in Frage (zu den Heilungsvoraussetzungen im Verfahren der staatsrechtlichen Beschwerde: BGE 126 I 68 E. 2 S. 72). Der Beschwerdeführer war daher auch nicht gehalten, in der staatsrechtlichen Beschwerde zur Vernehmlassung des Vizepräsidenten Stellung zu nehmen.</w:t>
      </w:r>
    </w:p>
    <w:p>
      <w:r>
        <w:rPr>
          <w:b/>
        </w:rPr>
        <w:t>E. 2</w:t>
      </w:r>
    </w:p>
    <w:p>
      <w:r>
        <w:t>Der Beschwerdeführer beantragte im kantonalen Rekurs die Feststellung der Verletzung der Medien- und Meinungsäusserungsfreiheit durch die vorläufige Verfügung vom 8. April 2004 und ersuchte eventualiter um Zusprechung einer Genugtuung. Das Obergericht hat dafürgehalten, die auf § 163 ZPO gestützte vorläufige Verfügung vom 8. April 2004 sei gemäss § 235 Abs. 2 Ziff. 1 ZPO mit keinem ordentlichen Rechtsmittel anfechtbar. Dieser Ausschluss könne nicht auf dem Umweg eines nachträglichen Feststellungsbegehrens umgangen werden, weshalb auf den Antrag nicht eingetreten werden könne. Gegenstand des Rekursverfahrens sei allein die Verfügung vom 21. Mai 2004, mit der die vorläufige Verfügung per sofort aufgehoben worden sei. Einzig die Anordnung gemäss Ziff. 5 des Dispositivs der vorläufigen Verfügung sei in den Entscheid vom 21. Mai 2004 aufgenommen worden; diesen Punkt habe der Beschwerdeführer allerdings nicht angefochten. Das Feststellungsbegehren verfolge vorab das Ziel, den Staat zu einer Entschädigung in Form einer Genugtuung zu verpflichten. Solche Ansprüche könnten weder im Rekurs noch im Verfahren der Aufsichtsbeschwerde durchgesetzt werden, sondern hätten gestützt auf das Verantwortlichkeitsgesetz beim Verwaltungsgericht geltend gemacht werden müssen. Das Obergericht trat daher auch auf das Begehren um Genugtuung nicht ein. Der Beschwerdeführer ergeht sich über weite Strecken in theoretischen Ausführungen. Mit seinem Hinweis auf eine Gesetzeslücke setzt er sich nicht rechtsgenügend mit den Erwägungen des Obergerichts auseinander. Namentlich äussert er sich mit keinem Wort dazu, dass Entschädigungen gemäss Verantwortlichkeitsgesetz beim Verwaltungsgericht geltend zu machen sind. Insoweit kann daher auf die staatsrechtliche Beschwerde nicht eingetreten werden ( Art. 90 Abs. 1 lit. b OG ; BGE 119 Ia 197 E. d S. 201; 120 Ia 369 E. 3a ; 123 I 1 E. 4a; 127 III 279 E. 1c S. 282, mit Hinweisen ; 128 I 295 E. 7a S. 312).</w:t>
      </w:r>
    </w:p>
    <w:p>
      <w:r>
        <w:rPr>
          <w:b/>
        </w:rPr>
        <w:t>E. 3</w:t>
      </w:r>
    </w:p>
    <w:p>
      <w:r>
        <w:t>Damit ist die staatsrechtliche Beschwerde gutzuheissen, soweit darauf eingetreten werden kann. Der angefochtene Beschluss ist aufzuheben, soweit damit der Rekurs des Beschwerdeführers abgewiesen worden ist und ihm eine Verfahrensgebühr sowie eine Entschädigung an die Gegenparteien auferlegt worden sind. Das Obergericht wird nunmehr erneut über die Frage der Parteientschädigung und über die Gerichtskosten und die Entschädigung für die Umtriebe des Rekursverfahrens zu entscheiden haben.</w:t>
      </w:r>
    </w:p>
    <w:p>
      <w:r>
        <w:rPr>
          <w:b/>
        </w:rPr>
        <w:t>E. 4</w:t>
      </w:r>
    </w:p>
    <w:p>
      <w:r>
        <w:t>Dem Ausgang des Verfahrens entsprechend werden die Gerichtskosten den Parteien je zur Hälfte auferlegt ( Art. 156 Abs. 1 OG ). Der Beschwerdeführer hat den Beschwerdegegnerinnen für die Umtriebe des bundesgerichtlichen Verfahrens eine reduzierte Entschädigung auszurichten ( Art. 159 Abs. 2 OG ). Der ohne Rechtsbeistand prozessierende Beschwerdeführer hat keinen Anspruch auf Entschädigung ( BGE 113 Ib 353 E. 6b S.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