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5P.30/2004 vom 24. November 2003</w:t>
      </w:r>
    </w:p>
    <w:p>
      <w:r>
        <w:t>Bundesgericht, 2003-11-24, DE</w:t>
      </w:r>
    </w:p>
    <w:p>
      <w:r>
        <w:rPr>
          <w:b/>
        </w:rPr>
        <w:t xml:space="preserve">Quelle: </w:t>
      </w:r>
      <w:r>
        <w:t>https://mcp.opencaselaw.ch/entscheid/bger_5P.30_2004</w:t>
      </w:r>
    </w:p>
    <w:p>
      <w:r>
        <w:t>FR: TF 5P.30/2004 du 24 novembre 2003</w:t>
      </w:r>
    </w:p>
    <w:p>
      <w:r>
        <w:t>IT: TF 5P.30/2004 del 24 novembre 2003</w:t>
      </w:r>
    </w:p>
    <w:p>
      <w:pPr>
        <w:pStyle w:val="Heading2"/>
      </w:pPr>
      <w:r>
        <w:t>Regeste</w:t>
      </w:r>
    </w:p>
    <w:p>
      <w:r>
        <w:t>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mit staatsrechtlicher Beschwerde erhobenen Rügen betreffen ausschliesslich die Verweigerung von nachehelichem Unterhalt. Die entsprechende Dispositiv-Ziff. 3 des obergerichtlichen Urteils hat das Bundesgericht auf Berufung der Beschwerdeführerin hin aufgehoben. Damit ist das Anfechtungsobjekt im vorliegenden Verfahren entfallen und die staatsrechtliche Beschwerde gegenstandslos geworden.</w:t>
      </w:r>
    </w:p>
    <w:p>
      <w:r>
        <w:rPr>
          <w:b/>
        </w:rPr>
        <w:t>E. 2</w:t>
      </w:r>
    </w:p>
    <w:p>
      <w:r>
        <w:t>Nach ständiger Praxis des Bundesgerichts wird die Beschwerdeführerin bei diesem Verfahrensausgang kostenpflichtig (vgl. Art. 156 Abs. 6 OG ) und ist ihr Gesuch um unentgeltliche Rechtspflege abzuweisen ( Art. 152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