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5P.300/2004 vom 24. September 2004</w:t>
      </w:r>
    </w:p>
    <w:p>
      <w:r>
        <w:t>Bundesgericht, 2004-09-24, FR</w:t>
      </w:r>
    </w:p>
    <w:p>
      <w:r>
        <w:rPr>
          <w:b/>
        </w:rPr>
        <w:t xml:space="preserve">Quelle: </w:t>
      </w:r>
      <w:r>
        <w:t>https://mcp.opencaselaw.ch/entscheid/bger_5P.300_2004</w:t>
      </w:r>
    </w:p>
    <w:p>
      <w:r>
        <w:t>FR: TF 5P.300/2004 du 24 septembre 2004</w:t>
      </w:r>
    </w:p>
    <w:p>
      <w:r>
        <w:t>IT: TF 5P.300/2004 del 24 settembre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La réunion dans un seul et même acte d'un recours en réforme et d'un recours de droit public n'est possible que si, comme dans le cas particulier, les moyens concernant chacune de ces voies de droit sont visiblement traités séparément et ne sont pas confondus quant à leur contenu ( ATF 103 II 218 consid. 1a et les arrêts cités; cf. aussi arrêts non publiés 4P.3/2002 du 30 mai 2002, consid. 1a et 5C.245/2002 du 24 décembre 2002, consid. 1.1).</w:t>
      </w:r>
    </w:p>
    <w:p>
      <w:r>
        <w:rPr>
          <w:b/>
        </w:rPr>
        <w:t>E. 1.2</w:t>
      </w:r>
    </w:p>
    <w:p>
      <w:r>
        <w:t>Aux termes de l' art. 57 al. 5 OJ , il est sursis en règle générale à l'arrêt sur le recours en réforme jusqu'à droit connu sur le recours de droit public. Il n'y a pas lieu de déroger à ce principe en l'espèce.</w:t>
      </w:r>
    </w:p>
    <w:p>
      <w:r>
        <w:rPr>
          <w:b/>
        </w:rPr>
        <w:t>E. 1.3</w:t>
      </w:r>
    </w:p>
    <w:p>
      <w:r>
        <w:t>Formé en temps utile - compte tenu de la suspension des délais prévue par l' art. 34 al. 1 let. b OJ - contre une décision prise en dernière instance cantonale, le recours est recevable au regard des art. 86 al. 1 et 89 al. 1 OJ.</w:t>
      </w:r>
    </w:p>
    <w:p>
      <w:r>
        <w:rPr>
          <w:b/>
        </w:rPr>
        <w:t>E. 1.4</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constatés par l'autorité cantonale, à moins que le recourant ne démontre que ces constatations sont fausses ou lacunaires ( ATF 118 Ia 20 consid. 5a p. 26). Les compléments et précisions que le recourant apporte à l'état de fait de l'arrêt attaqué sont par conséquent irrecevables, sous réserve des griefs motivés en conformité avec les exigences posées par l' art. 90 al. 1 let. b OJ .</w:t>
      </w:r>
    </w:p>
    <w:p>
      <w:r>
        <w:rPr>
          <w:b/>
        </w:rPr>
        <w:t>E. 1.5</w:t>
      </w:r>
    </w:p>
    <w:p>
      <w:r>
        <w:t>En vertu de cette dernière disposition,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se plaint d'une violation de son droit d'être entendu, au motif que l'autorité cantonale a refusé d'ordonner la comparution personnelle des parties, l'audition des enfants et de plusieurs témoins ainsi que l'ouverture d'enquêtes. Il invoque à cet égard l' art. 29 al. 2 Cst.</w:t>
      </w:r>
    </w:p>
    <w:p>
      <w:r>
        <w:t>Dans la mesure où ce grief vise de surcroît l'autorité de première instance, il est irrecevable (cf. art. 86 al. 1 OJ ; ATF 128 I 46 consid. 1c p. 51).</w:t>
      </w:r>
    </w:p>
    <w:p>
      <w:r>
        <w:rPr>
          <w:b/>
        </w:rPr>
        <w:t>E. 2.1</w:t>
      </w:r>
    </w:p>
    <w:p>
      <w:r>
        <w:t>Vu la nature formelle de cette garantie constitutionnelle, dont la violation entraîne l'annulation de la décision attaquée indépendamment des chances de succès du recours sur le fond ( ATF 127 V 431 consid. 3d/aa p. 437 et la jurisprudence citée), ce moyen doit être examiné en priorité ( ATF 124 I 49 consid. 1 p. 50).</w:t>
      </w:r>
    </w:p>
    <w:p>
      <w:r>
        <w:rPr>
          <w:b/>
        </w:rPr>
        <w:t>E. 2.2</w:t>
      </w:r>
    </w:p>
    <w:p>
      <w:r>
        <w:t>Le droit d'être entendu consacré à l' art. 29 al. 2 Cst. comprend le droit pour le justiciable d'obtenir qu'il soit donné suite à ses offres de preuves pertinentes ( ATF 127 I 54 consid. 2b p. 56; 127 III 576 consid. 2c p. 578).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125 I 127 consid. 6c/cc in fine p. 135, 417 consid. 7b p. 430; 124 I 208 consid. 4a p. 211 et les arrêts cités). A lui seul, l' art. 29 al. 2 Cst. ne confère pas le droit d'être entendu oralement (cf. ATF 125 I 209 consid. 9 p. 219; 122 II 464 consid. 4c p. 469).</w:t>
      </w:r>
    </w:p>
    <w:p>
      <w:r>
        <w:rPr>
          <w:b/>
        </w:rPr>
        <w:t>E. 2.3</w:t>
      </w:r>
    </w:p>
    <w:p>
      <w:r>
        <w:t>En l'espèce, la cour cantonale a jugé qu'il n'y avait pas lieu de renvoyer la cause à l'autorité de première instance pour qu'elle procède à la comparution personnelle des parties, car l'audition de celles-ci n'aurait pour résultat que de reprendre leurs griefs, déjà largement évoqués, commentés et critiqués par les assistants sociaux, et de raviver les conflits qui les opposent, ce qui n'était manifestement pas dans l'intérêt des enfants. S'estimant pour sa part suffisamment renseignée et documentée, la Cour de justice a considéré que la comparution personnelle des parties, dont les déterminations et allégations étaient amplement répertoriées, ne se justifiait pas non plus devant elle.</w:t>
      </w:r>
    </w:p>
    <w:p>
      <w:r>
        <w:t>De même, les juges cantonaux ont refusé d'ordonner une expertise familiale visant à établir l'influence négative de la mère sur les enfants, eu égard à leurs relations avec leur père, au motif que ce type de comportement parental lui était connu et que la chronologie des événements permettait de constater son existence in casu. Quant aux enfants, ils avaient déjà été entendus, tant par le SPJ que par le STG, de sorte qu'une troisième audition - impliquant, aux dires du recourant, une thérapie préalable - ne ferait que les harceler et n'était ni utile, ni nécessaire pour déterminer objectivement la solution susceptible de garantir au mieux leur développement harmonieux.</w:t>
      </w:r>
    </w:p>
    <w:p>
      <w:r>
        <w:t>Enfin, il ne s'imposait pas d'ouvrir des enquêtes concernant les relations de chaque parent et beau-parent avec les enfants, puisque le père ne rendait même pas vraisemblable qu'il serait apte à s'occuper personnellement de ces derniers.</w:t>
      </w:r>
    </w:p>
    <w:p>
      <w:r>
        <w:t>L'autorité cantonale a ainsi refusé d'ordonner les mesures requises par le recourant, les jugeant impropres à prouver ou à modifier le résultat des preuves déjà administrées. Or on ne voit pas - et le recourant ne démontre pas - en quoi cette appréciation serait arbitraire (sur cette notion, cf. ATF 129 I 8 consid. 2.1 p. 9 et les arrêts cités). Au vu des principes susmentionnés (cf. consid. 2.2), l' art. 29 al. 2 Cst. n'apparaît donc pas violé. Au demeurant, le recourant ne précise pas, ni a fortiori n'établit, quelles dispositions de la loi de procédure civile genevoise - à laquelle il se réfère s'agissant de la comparution personnelle des parties - auraient été arbitrairement interprétées ou appliquées.</w:t>
      </w:r>
    </w:p>
    <w:p>
      <w:r>
        <w:rPr>
          <w:b/>
        </w:rPr>
        <w:t>E. 3.1</w:t>
      </w:r>
    </w:p>
    <w:p>
      <w:r>
        <w:t>Dans un autre grief, le recourant soutient que la Cour de justice a apprécié les preuves et établi les faits de manière arbitraire ( art. 9 Cst. ), en omettant de tirer les conséquences des constatations qu'elle a effectuées. Il expose que, selon la décision attaquée, l'entourage des enfants lui est hostile et ne favorise pas leurs relations avec lui. Aux dires de la curatrice, les enfants sont de surcroît en danger. Dès lors, il est insoutenable de maintenir la situation actuelle en prétendant que l'on ne vise que l'intérêt des enfants. Le recourant se plaint en outre d'être obligé de voir ceux-ci dans un milieu surveillé destiné, d'après lui, aux pères violents et pédophiles, bien que de tels comportements ne lui aient jamais été reprochés. Il dénonce aussi une violation de l' art. 145 al. 1 CC , l'autorité cantonale n'ayant, à son avis, manifestement pas cherché à établir la vérité.</w:t>
      </w:r>
    </w:p>
    <w:p>
      <w:r>
        <w:rPr>
          <w:b/>
        </w:rPr>
        <w:t>E. 3.2</w:t>
      </w:r>
    </w:p>
    <w:p>
      <w:r>
        <w:t>Dans la mesure où le recourant reproche à la Cour de justice d'avoir à l'évidence mal appliqué cette dernière disposition, il n'y a pas lieu d'entrer en matière. En effet, ce grief implique a fortiori une fausse application du droit fédéral, laquelle relève du recours en réforme lorsque cette voie est, comme en l'espèce, ouverte (J.-F. Poudret, Commentaire de la loi fédérale d'organisation judiciaire, n. 1.6.3 ad art. 43). Compte tenu de la subsidiarité absolue du recours de droit public ( art. 84 al. 2 OJ ), le recours est donc irrecevable sur ce point. Pour le surplus, le recourant critique en réalité, d'un point de vue matériel, l'attribution des enfants et les modalités du droit de visite, questions qui ressortissent au droit fédéral et, par conséquent, au recours en réforme ( art. 43 al. 1 OJ ). Le moyen est par conséquent irrecevable dans le présent recours de droit public ( art. 84 al. 2 OJ ). Enfin, le grief selon lequel la Cour de justice n'a pas donné suite à ses offres de preuves ne saurait être admis (cf. consid. 2 supra).</w:t>
      </w:r>
    </w:p>
    <w:p>
      <w:r>
        <w:rPr>
          <w:b/>
        </w:rPr>
        <w:t>E. 4</w:t>
      </w:r>
    </w:p>
    <w:p>
      <w:r>
        <w:t>En conclusion, le recours se révèle mal fondé et doit être rejeté, dans la mesure où il est recevable. Vu l'issue - prévisible - de la procédure, la requête d'assistance judiciaire ne peut être agréée ( art. 152 OJ ). Le recourant, qui succombe,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