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5P.287/2000 vom 3. Oktober 2000</w:t>
      </w:r>
    </w:p>
    <w:p>
      <w:r>
        <w:t>Bundesgericht, 2000-10-03, IT</w:t>
      </w:r>
    </w:p>
    <w:p>
      <w:r>
        <w:rPr>
          <w:b/>
        </w:rPr>
        <w:t xml:space="preserve">Quelle: </w:t>
      </w:r>
      <w:r>
        <w:t>https://mcp.opencaselaw.ch/entscheid/bger_5P.287_2000</w:t>
      </w:r>
    </w:p>
    <w:p>
      <w:r>
        <w:t>FR: TF 5P.287/2000 du 3 octobre 2000</w:t>
      </w:r>
    </w:p>
    <w:p>
      <w:r>
        <w:t>IT: TF 5P.287/2000 del 3 ottobre 2000</w:t>
      </w:r>
    </w:p>
    <w:p>
      <w:pPr>
        <w:pStyle w:val="Heading2"/>
      </w:pPr>
      <w:r>
        <w:t>Regeste</w:t>
      </w:r>
    </w:p>
    <w:p>
      <w:r>
        <w:t>Diritto delle esecuzioni e del fallimento</w:t>
      </w:r>
    </w:p>
    <w:p>
      <w:pPr>
        <w:pStyle w:val="Heading2"/>
      </w:pPr>
      <w:r>
        <w:t>Erwägungen</w:t>
      </w:r>
    </w:p>
    <w:p>
      <w:r>
        <w:rPr>
          <w:b/>
        </w:rPr>
        <w:t>E. 1</w:t>
      </w:r>
    </w:p>
    <w:p>
      <w:r>
        <w:t>a) Interposto in tempo utile contro una decisione finale dell'ultima istanza cantonale per violazione dell' art. 9 Cost. , il ricorso di diritto pubblico è di principio ricevibile giusta l' art. 87 OG . b) Il ricorso di diritto pubblico ha - tranne eccezioni che non si verificano in concreto - natura meramente cassatoria. La domanda volta a invitare l'autorità cantonale a decidere in un determinato modo è quindi inammissibile ( DTF 125 I 107 consid. 1b con riferimenti).</w:t>
      </w:r>
    </w:p>
    <w:p>
      <w:r>
        <w:rPr>
          <w:b/>
        </w:rPr>
        <w:t>E. 2</w:t>
      </w:r>
    </w:p>
    <w:p>
      <w:r>
        <w:t>Secondo l'art. 62 cpv. 1 dell'Ordinanza sulle tasse riscosse in applicazione della legge federale sulla esecuzione e sul fallimento (OTLEF - RS 281. 35) del 23 settembre 1996 nelle procedure sommarie in materia di esecuzione ( art. 25 n. 2 LEF ) il giudice può, su domanda della parte vincente, condannare la parte soccombente a pagare un'equa indennità come risarcimento delle spese; l'ammontare di questa indennità è stabilito nella sentenza. Ora, in concreto, è pacifico che la richiesta è stata formulata e che trattasi di procedura sommaria ai sensi della citata disposizione. Resta da esaminare se nella fattispecie in esame ricorrevano motivi pertinenti per prescindere dall'applicazione della citata norma. I giudici cantonali hanno disatteso la richiesta perché il qui ricorrente aveva postulato in via principale l'inammissibilità del gravame. A prescindere dal fatto che il tema appare tutt'altro che scontato, il giudizio impugnato, cresciuto in giudicato su questo punto, ha dato torto al resistente. Non mette quindi conto, com'egli tenta di fare, di rimettere in discussione questa parte della pronuncia. Risulta nondimeno dagli atti che il Tribunale ha respinto il ricorso ed ha confermato la sentenza impugnata, come aveva chiesto in via subordinata il ricorrente. Per questo solo fatto, l'autorità cantonale poteva fors'anche riconoscere un'indennità per ripetibili ridotta, risultando il qui ricorrente solo parzialmente vincente, ma non poteva in nessun modo prescindere dalla concessione di una siffatta indennità - almeno parziale -. Destituita di valide ragioni è inoltre la tesi della resistente, secondo cui la controparte nemmeno doveva essere sentita nell'ambito della procedura di appello: a prescindere dalla fondatezza giuridica di un tale assunto, in concreto il qui ricorrente è stato invitato a presentare osservazioni all'appello e ha quindi avuto delle spese ai sensi dell' art. 62 OTLEF . La decisione che nega integralmente l'assegnazione di ripetibili, in tali circostanze, oltrepassa chiaramente il margine di apprezzamento che compete all'autorità giudicante nell'ambito dell'applicazione dell' art. 62 OTLEF e sconfina nell'arbitrio: la ragione addotta dai giudici cantonali, infatti, è manifestamente priva di fondamento e la loro sentenza va di conseguenza annullata sul punto in contestazione.</w:t>
      </w:r>
    </w:p>
    <w:p>
      <w:r>
        <w:rPr>
          <w:b/>
        </w:rPr>
        <w:t>E. 3</w:t>
      </w:r>
    </w:p>
    <w:p>
      <w:r>
        <w:t>Da quanto sopra discende che il gravame dev' essere accolto e la sentenza impugnata annullata nel suo dispositivo III. La tassa di giustizia e le ripetibili della sede federale sono poste a carico della parte soccombente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