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5P.275/2002 vom 20. November 2002</w:t>
      </w:r>
    </w:p>
    <w:p>
      <w:r>
        <w:t>Bundesgericht, 2002-11-20, IT</w:t>
      </w:r>
    </w:p>
    <w:p>
      <w:r>
        <w:rPr>
          <w:b/>
        </w:rPr>
        <w:t xml:space="preserve">Quelle: </w:t>
      </w:r>
      <w:r>
        <w:t>https://mcp.opencaselaw.ch/entscheid/bger_5P.275_2002</w:t>
      </w:r>
    </w:p>
    <w:p>
      <w:r>
        <w:t>FR: TF 5P.275/2002 du 20 novembre 2002</w:t>
      </w:r>
    </w:p>
    <w:p>
      <w:r>
        <w:t>IT: TF 5P.275/2002 del 20 novembre 2002</w:t>
      </w:r>
    </w:p>
    <w:p>
      <w:pPr>
        <w:pStyle w:val="Heading2"/>
      </w:pPr>
      <w:r>
        <w:t>Regeste</w:t>
      </w:r>
    </w:p>
    <w:p>
      <w:r>
        <w:t>Diritto delle esecuzioni e del fallimento</w:t>
      </w:r>
    </w:p>
    <w:p>
      <w:pPr>
        <w:pStyle w:val="Heading2"/>
      </w:pPr>
      <w:r>
        <w:t>Erwägungen</w:t>
      </w:r>
    </w:p>
    <w:p>
      <w:r>
        <w:rPr>
          <w:b/>
        </w:rPr>
        <w:t>E. 1.1</w:t>
      </w:r>
    </w:p>
    <w:p>
      <w:r>
        <w:t>La decisione dell'ultima istanza cantonale, che accorda il rigetto definitivo dell'opposizione interposta a un precetto esecutivo con cui il creditore procede per l'incasso di un credito fondato su una sentenza pronunciata in uno Stato che partecipa alla Convenzione di Lugano, può unicamente essere impugnata con un ricorso di diritto pubblico ( DTF 126 III 534 consid. 1 con rinvii). Il gravame, tempestivo (combinati art. 34 cpv. 1 lett. b e 89 cpv. 1 OG), è pertanto in linea di principio ammissibile.</w:t>
      </w:r>
    </w:p>
    <w:p>
      <w:r>
        <w:rPr>
          <w:b/>
        </w:rPr>
        <w:t>E. 1.2</w:t>
      </w:r>
    </w:p>
    <w:p>
      <w:r>
        <w:t>La decisione di un'autorità cantonale inferiore può essere impugnata con il giudizio dell'ultima istanza cantonale, se a questa non potevano essere sottoposte tutte le censure ammissibili nella sede federale o se l'autorità cantonale superiore godeva di un potere d'esame meno esteso di quello del Tribunale federale ( DTF 126 II 377 consid. 8b pag. 395 con rinvii). Le predette ipotesi non si realizzano in concreto: l'ultima istanza cantonale, adita con un appello, non solo poteva procedere a un riesame completo della causa (Cocchi/Trezzini, Codice di procedura civile ticinese massimato e commentato, pag. 689), ma ha pure permesso al ricorrente di prevalersi di nova. Ne segue che la richiesta di annullare la sentenza di primo grado si rivela di primo acchito irricevibile.</w:t>
      </w:r>
    </w:p>
    <w:p>
      <w:r>
        <w:rPr>
          <w:b/>
        </w:rPr>
        <w:t>E. 2</w:t>
      </w:r>
    </w:p>
    <w:p>
      <w:r>
        <w:t>L' art. 512 CPC ticinese recita che il riconoscimento di sentenze di pagamento in denaro o di prestazioni di garanzie avviene ad opera del giudice normalmente competente, nell'ambito del procedimento di rigetto dell'opposizione secondo la LEF, fatta eccezione per le decisioni di prestazioni di denaro che soggiacciono alla Convenzione di Lugano. L' art. 513b CPC ticinese indica nel suo primo capoverso che il Pretore del domicilio del convenuto o del luogo dell'esecuzione è competente per riconoscere o dichiarare esecutive le decisioni che condannano al pagamento di una somma di denaro o ad altre prestazioni cui torna applicabile la Convenzione di Lugano. Il secondo capoverso di tale norma prevede che la Camera civile d'appello è competente per pronunciarsi sull'opposizione ai sensi degli art. 36 e 40 della Convenzione. Per quanto attiene alla procedura, l' art. 513c CPC ticinese stabilisce che l'istanza di riconoscimento o di exequatur è inoltrata al Pretore nelle forme della procedura non contenziosa di Camera di consiglio (cpv. 1) e che l'opposizione è proposta alla Camera civile d'appello nelle forme della procedura contenziosa di Camera di consiglio (cpv. 2).</w:t>
      </w:r>
    </w:p>
    <w:p>
      <w:r>
        <w:rPr>
          <w:b/>
        </w:rPr>
        <w:t>E. 2.1</w:t>
      </w:r>
    </w:p>
    <w:p>
      <w:r>
        <w:t>La Corte cantonale ha osservato che l'entrata in vigore della Convenzione di Lugano e la modifica delle norme cantonali sull'exequatur non impediscono al creditore di procedere secondo l' art. 512 CPC ticinese, se egli non vuole godere dei specifici vantaggi, non previsti dalla LEF, offerti dalla Convenzione. In tal caso il giudice del rigetto si limita all'esame preliminare del riconoscimento della sentenza estera nell'abituale procedura di rigetto definitivo dell'opposizione, senza che esso non debba essere oggetto di un punto specifico del dispositivo.</w:t>
      </w:r>
    </w:p>
    <w:p>
      <w:r>
        <w:rPr>
          <w:b/>
        </w:rPr>
        <w:t>E. 2.2</w:t>
      </w:r>
    </w:p>
    <w:p>
      <w:r>
        <w:t>Il ricorrente, invece, fondandosi sulle citate norme procedurali, afferma che il creditore doveva inoltrare una domanda di exequatur ai sensi dell'art. 513b seg. CPC ticinese su cui il giudice doveva pronunciarsi nel dispositivo della sentenza. Negando la necessità di una specifica richiesta di exequatur, la Corte cantonale ha pure violato la Convenzione di Lugano, la quale menziona espressamente una siffatta istanza negli art. 32 n. 1 lett. a e 35. Quest'ultima disposizione prevede poi l'obbligo di indicare nel dispositivo della sentenza la dichiarazione di esecuzione del giudizio estero. Non procedendo in tal modo, i giudici cantonali hanno impedito al ricorrente di contestare l'exequatur e di chiedere una sospensione della procedura ex art. 38 CL , motivata con l'impugnazione della sentenza italiana innanzi al Tribunale di Milano.</w:t>
      </w:r>
    </w:p>
    <w:p>
      <w:r>
        <w:rPr>
          <w:b/>
        </w:rPr>
        <w:t>E. 2.3</w:t>
      </w:r>
    </w:p>
    <w:p>
      <w:r>
        <w:t>Se la decisione straniera avente per oggetto il pagamento di una somma di denaro è stata pronunciata in uno Stato estero con il quale esiste un trattato per la reciproca esecuzione delle sentenze, compete al giudice del rigetto dell'opposizione statuire sull'exequatur quale questione incidentale risp. pregiudiziale ( art. 81 cpv. 3 LEF ; sentenza inedita del 13 settembre 2001 consid. 2a nella causa 5P.253/2001). Poiché il diritto federale impone al giudice di verificare d'ufficio l'esistenza di un titolo di rigetto dell'opposizione (Gilliéron, Commentaire de la loi fédérale sur la poursuite pour dettes et la faillite, n. 22 all' art. 80 LEF ), non è nemmeno necessario che sia stata formulata una specifica domanda di concessione dell'exequatur e che il suo esito sia espressamente menzionato nel dispositivo (sentenza inedita del 20 febbraio 1998 consid. 3 nella causa 5P.494/1997). Il ricorrente pare poi misconoscere che quando, come in concreto, il giudice è stato adito con una domanda di rigetto dell'opposizione, le disposizioni procedurali della Convenzione di Lugano (ad esempio gli art. 31 segg.) non sono applicabili ( DTF 125 III 386 consid. 3a; Amonn/Gasser, Grundriss des Schuldbetreibungs- und Konkursrechts, 6a ed., § 19 n. 29). L'esclusione di tali norme si giustifica peraltro anche nei confronti del debitore per il fatto che il rigetto dell'opposizione viene pronunciato dopo una procedura contraddittoria in cui vengono esaminati i presupposti convenzionali per ammettere l'esecuzione della sentenza straniera (Gerhard Walter, Internationales Zivilprozessrecht der Schweiz, 3a edizione, pag. 449). Giova infine aggiungere che non soccorre il ricorrente neppure l'opinione della dottrina maggioritaria (cfr. i riferimenti contenuti nella DTF 125 III 386 consid. 3a), secondo cui il creditore ha la facoltà di domandare, senza avviare un'esecuzione ai sensi della LEF, l'exequatur in una procedura distinta e unilaterale conformemente agli art. 26 e 31 segg. CL: in virtù del diritto federale il procedente, che ha fatto notificare un precetto esecutivo, non può essere obbligato a farvi capo (sentenza inedita del 10 marzo 1998 consid. 3a nella causa 5P.15/1998; DTF 116 Ia 394 consid. 2c pag. 400). L'interpretazione data alle norme del CPC ticinese dalla Corte cantonale è pertanto conforme al diritto federale e non può essere considerata arbitraria.</w:t>
      </w:r>
    </w:p>
    <w:p>
      <w:r>
        <w:rPr>
          <w:b/>
        </w:rPr>
        <w:t>E. 3</w:t>
      </w:r>
    </w:p>
    <w:p>
      <w:r>
        <w:t>Comunicazione ai patrocinatori delle parti e alla Camera di esecuzione e fallimenti del Tribunale d'appello del Cantone Ticino. Losanna, 20 novembre 2002 In nome della II Corte civile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