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5P.26/2007 vom 25. Juni 2007</w:t>
      </w:r>
    </w:p>
    <w:p>
      <w:r>
        <w:t>Bundesgericht, 2007-06-25, FR</w:t>
      </w:r>
    </w:p>
    <w:p>
      <w:r>
        <w:rPr>
          <w:b/>
        </w:rPr>
        <w:t xml:space="preserve">Quelle: </w:t>
      </w:r>
      <w:r>
        <w:t>https://mcp.opencaselaw.ch/entscheid/bger_5P.26_2007</w:t>
      </w:r>
    </w:p>
    <w:p>
      <w:r>
        <w:t>FR: TF 5P.26/2007 du 25 juin 2007</w:t>
      </w:r>
    </w:p>
    <w:p>
      <w:r>
        <w:t>IT: TF 5P.26/2007 del 25 giugno 2007</w:t>
      </w:r>
    </w:p>
    <w:p>
      <w:pPr>
        <w:pStyle w:val="Heading2"/>
      </w:pPr>
      <w:r>
        <w:t>Erwägungen</w:t>
      </w:r>
    </w:p>
    <w:p>
      <w:r>
        <w:rPr>
          <w:b/>
        </w:rPr>
        <w:t>E. 1</w:t>
      </w:r>
    </w:p>
    <w:p>
      <w:r>
        <w:t>La loi fédérale sur le Tribunal fédéral du 17 juin 2005 (LTF; RS 173.110) est entrée en vigueur le 1er janvier 2007 (RO 2006 1242). L'arrêt attaqué ayant été rendu avant cette date, la procédure reste régie par la loi fédérale d'organisation judiciaire (OJ) du 16 décembre 1943 ( art. 132 al. 1 LTF ).</w:t>
      </w:r>
    </w:p>
    <w:p>
      <w:r>
        <w:rPr>
          <w:b/>
        </w:rPr>
        <w:t>E. 2.1</w:t>
      </w:r>
    </w:p>
    <w:p>
      <w:r>
        <w:t>Les décisions statuant sur les mesures provisoires pendant la procédure de divorce ( art. 137 CC ) ne sont pas finales au sens de l' art. 48 al. 1 OJ et ne sont dès lors pas susceptibles d'être attaquées par la voie du recours en réforme; elles constituent en revanche des décisions finales au sens de l' art. 87 OJ et peuvent, comme telles, faire l'objet d'un recours de droit public pour arbitraire ( ATF 100 Ia 14 consid. 1 a et b; ATF 126 III 261 consid. 1).</w:t>
      </w:r>
    </w:p>
    <w:p>
      <w:r>
        <w:rPr>
          <w:b/>
        </w:rPr>
        <w:t>E. 2.2</w:t>
      </w:r>
    </w:p>
    <w:p>
      <w:r>
        <w:t>Le recours de droit public n'est recevable qu'à l'encontre des décisions rendues en dernière instance cantonale ( art. 86 al. 1 OJ ). En procédure vaudoise, l'ordonnance de mesures provisoires rendue par le Président du Tribunal d'arrondissement peut faire l'objet d'un appel au Tribunal d'arrondissement ( art. 111 CPC /VD). L'arrêt sur appel rendu par ce Tribunal peut être attaqué par la voie du recours en nullité selon l'art. 444 al. 1 ch. 1 à 3 CPC/VD (Poudret/Haldy/Tappy, Procédure civile vaudoise, 3e éd. 2002, n. 1 ad art. 108 CPC /VD). Le recours en nullité pour violation des règles essentielles de la procédure ( art. 444 al. 1 ch. 3 CPC /VD) permet notamment de se plaindre d'une appréciation arbitraire des preuves ( ATF 126 I 257 consid. 1; Poudret/Haldy/Tappy, op. cit., n. 15 ad art. 444 CPC /VD p. 657 et les arrêts cités).</w:t>
      </w:r>
    </w:p>
    <w:p>
      <w:r>
        <w:t>Il s'ensuit que le recours est recevable en tant qu'il porte sur ce moyen.</w:t>
      </w:r>
    </w:p>
    <w:p>
      <w:r>
        <w:rPr>
          <w:b/>
        </w:rPr>
        <w:t>E. 3</w:t>
      </w:r>
    </w:p>
    <w:p>
      <w:r>
        <w:t>La recourante reproche en substance à l'autorité cantonale d'avoir arbitrairement retenu que les époux vivaient séparés depuis 1998 alors que, selon le témoignage de C.________ en instance d'appel, la vie commune aurait repris après le dépôt de la requête commune de divorce du 20 septembre 2002 et duré jusqu'au début de l'année 2006.</w:t>
      </w:r>
    </w:p>
    <w:p>
      <w:r>
        <w:rPr>
          <w:b/>
        </w:rPr>
        <w:t>E. 3.1</w:t>
      </w:r>
    </w:p>
    <w:p>
      <w:r>
        <w:t>De jurisprudence constante, le Tribunal fédéral reconnaît un large pouvoir aux autorités cantonales en matière de constatation des faits et d'appréciation des preuves ( ATF 120 Ia 31 consid. 4b p. 40; 104 Ia 381 consid. 9 p. 399). Il n'intervient, pour violation de l' art. 9 Cst. , que si le juge cantonal n'a manifestement pas compris le sens et la portée d'un moyen de preuve, a omis sans motifs sérieux de tenir compte de preuves pertinentes ou a effectué, sur la base des éléments recueillis, des déductions insoutenables ( ATF 129 I 8 consid. 2.1 p. 9); encore faut-il que la décision attaquée en soit viciée, non seulement dans ses motifs, mais aussi dans son résultat ( ATF 129 I 49 consid. 4 p. 58; 124 IV 86 consid. 2a p. 88).</w:t>
      </w:r>
    </w:p>
    <w:p>
      <w:r>
        <w:rPr>
          <w:b/>
        </w:rPr>
        <w:t>E. 3.2</w:t>
      </w:r>
    </w:p>
    <w:p>
      <w:r>
        <w:t>Reposant sur la présence des véhicules des époux X.________ devant le domicile de A.________, le témoignage de C.________ peut se résumer ainsi : depuis la séparation en 1998 jusque vers le milieu de l'année 2004, l'époux a vécu seul à A.________, sous réserve de venues occasionnelles de l'épouse durant la journée exclusivement; dès l'été 2004 - à savoir deux ans avant l'audience d'appel - l'épouse a passé de nouveau ses nuits dans la demeure avec son époux; depuis fin 2005, c'est l'épouse qui y vit seule. Durant près d'une année et demie - de l'été 2004 à fin 2005 -, les époux ont ainsi passé leurs nuits sous le même toit.</w:t>
      </w:r>
    </w:p>
    <w:p>
      <w:r>
        <w:t>L'autorité cantonale a cependant considéré que ce témoignage ne contredisait pas l'existence d'une séparation remontant à plusieurs années, en raison notamment du prononcé de mesures protectrices de l'union conjugale du 27 juin 2002 et de la requête commune en divorce du 20 septembre 2002.</w:t>
      </w:r>
    </w:p>
    <w:p>
      <w:r>
        <w:rPr>
          <w:b/>
        </w:rPr>
        <w:t>E. 3.3</w:t>
      </w:r>
    </w:p>
    <w:p>
      <w:r>
        <w:t>Même si l'hypothèse est rare en pratique, la notion de vie séparée - commune aux art. 114 et 175 s. CC (Steck, Basler Kommentar, vol. I, 3e éd., n. 5 ad art. 114 CC ; Fankhauser, in: Ingeborg Schwenzer [édit.], Praxiskommentar Scheidungsrecht, n. 13 ad art. 114 CC ) - n'est pas incompatible avec un logement commun, pour autant que les époux ne forment pas un ménage commun, à savoir une communauté de corps, d'esprit et d'intérêts économiques; en cas de doute, il suffit que l'un des époux ait voulu et mis en pratique cette séparation (Steck, op. cit., n. 7 et 9 ad art. 114 CC et les références; Fankhauser, op. cit., n. 13 et 15 ad art. 114 CC ).</w:t>
      </w:r>
    </w:p>
    <w:p>
      <w:r>
        <w:rPr>
          <w:b/>
        </w:rPr>
        <w:t>E. 3.4</w:t>
      </w:r>
    </w:p>
    <w:p>
      <w:r>
        <w:t>En l'espèce, il n'est pas contesté que les parties ont vécu séparées depuis 1998 jusqu'en été 2004, puis à nouveau dès la fin de l'année 2005. Le témoignage de C.________, s'il établit qu'entre-temps les époux ont passé leurs nuits sous le même toit, ne permet pas de déduire quoi que ce soit sur les modalités de cette cohabitation. Au reste, les indices en faveur d'un prolongement de la séparation ne manquent pas : le bail de l'appartement de B.________ n'a pas été résilié et l'épouse a continué de percevoir la contribution d'entretien, fixée en 2002 en vue de la vie séparée des époux. De plus, l'autorité cantonale a constaté que le retour au domicile conjugal de la recourante avait finalement incité le mari à quitter ce domicile en attendant qu'elle s'en aille, ce qui permet de penser que le mari n'a jamais entendu reprendre la vie commune.</w:t>
      </w:r>
    </w:p>
    <w:p>
      <w:r>
        <w:t>Il n'est donc pas arbitraire de ne pas inférer du témoignage en cause une interruption de la séparation des époux, malgré l'existence d'un logement commun durant une année et demie.</w:t>
      </w:r>
    </w:p>
    <w:p>
      <w:r>
        <w:rPr>
          <w:b/>
        </w:rPr>
        <w:t>E. 4</w:t>
      </w:r>
    </w:p>
    <w:p>
      <w:r>
        <w:t>La recourante, qui succombe, supportera l'émolument de justice ( art. 156 al. 1 OJ ). Il n'y a pas lieu d'allouer des dépens à l'intimé qui n'a pas été invité à répondre.</w:t>
      </w:r>
    </w:p>
    <w:p>
      <w:r>
        <w:t>Les conclusions de la recourante étaient vouées à l'échec, de sorte que sa requête d'assistance judiciaire doit être rejetée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