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5P.206/2006 vom 29. September 2006</w:t>
      </w:r>
    </w:p>
    <w:p>
      <w:r>
        <w:t>Bundesgericht, 2006-09-29, FR</w:t>
      </w:r>
    </w:p>
    <w:p>
      <w:r>
        <w:rPr>
          <w:b/>
        </w:rPr>
        <w:t xml:space="preserve">Quelle: </w:t>
      </w:r>
      <w:r>
        <w:t>https://mcp.opencaselaw.ch/entscheid/bger_5P.206_2006</w:t>
      </w:r>
    </w:p>
    <w:p>
      <w:r>
        <w:t>FR: TF 5P.206/2006 du 29 septembre 2006</w:t>
      </w:r>
    </w:p>
    <w:p>
      <w:r>
        <w:t>IT: TF 5P.206/2006 del 29 settembre 2006</w:t>
      </w:r>
    </w:p>
    <w:p>
      <w:pPr>
        <w:pStyle w:val="Heading2"/>
      </w:pPr>
      <w:r>
        <w:t>Erwägungen</w:t>
      </w:r>
    </w:p>
    <w:p>
      <w:r>
        <w:rPr>
          <w:b/>
        </w:rPr>
        <w:t>E. 1</w:t>
      </w:r>
    </w:p>
    <w:p>
      <w:r>
        <w:t>Conformément au principe posé par l' art. 57 al. 5 OJ (cf. ATF 122 I 81 consid. 1 p. 82/83), il convient d'examiner le recours de droit public en premier.</w:t>
      </w:r>
    </w:p>
    <w:p>
      <w:r>
        <w:rPr>
          <w:b/>
        </w:rPr>
        <w:t>E. 2</w:t>
      </w:r>
    </w:p>
    <w:p>
      <w:r>
        <w:t>Le Tribunal fédéral contrôle d'office et librement la recevabilité des recours dont il est saisi ( ATF 132 III 291 consid. 1 p. 292).</w:t>
      </w:r>
    </w:p>
    <w:p>
      <w:r>
        <w:rPr>
          <w:b/>
        </w:rPr>
        <w:t>E. 2.1</w:t>
      </w:r>
    </w:p>
    <w:p>
      <w:r>
        <w:t>Sous réserve d'exceptions non réalisées en l'espèce (cf. ATF 124 I 327 consid. 4b p. 332/333), le recours de droit public est de nature cassatoire et, partant, ne peut tendre qu'à l'annulation de la décision attaquée ( ATF 132 III 291 consid. 1.5 p. 294). Il s'ensuit que le chef de conclusions tendant au renvoi de la cause à la juridiction précédente afin qu'elle complète l'instruction et statue à nouveau dans le sens des considérants est irrecevable.</w:t>
      </w:r>
    </w:p>
    <w:p>
      <w:r>
        <w:rPr>
          <w:b/>
        </w:rPr>
        <w:t>E. 2.2</w:t>
      </w:r>
    </w:p>
    <w:p>
      <w:r>
        <w:t>Dans un recours de droit public pour arbitraire, l'invocation de faits nouveaux est prohibée ( ATF 118 III 37 consid. 2a p. 39 et les arrêts cités). Le Tribunal fédéral s'en tient, dès lors, aux faits constatés par la juridiction cantonale, à moins que le recourant ne démontre que ces constatations sont arbitrairement erronées ou lacunaires ( ATF 118 Ia 20 consid. 5a p. 26). Les divers compléments qu'apporte la recourante sont donc irrecevables, sous réserve des griefs motivés en conformité avec les exigences de l' art. 90 al. 1 let. b OJ (cf. à ce sujet: ATF 125 I 492 consid. 1b p. 495 et les arrêts cités). Il en est ainsi, a fortiori, pour les faits postérieurs à l'arrêt déféré ( ATF 120 Ia 369 consid. 3b p. 374; Kälin, Das Verfahren der staatsrechtlichen Beschwerde, 2e éd., p. 370 et la jurisprudence citée), en particulier ceux qui touchent à la réaction de l'enfant (p. 7 let. G).</w:t>
      </w:r>
    </w:p>
    <w:p>
      <w:r>
        <w:rPr>
          <w:b/>
        </w:rPr>
        <w:t>E. 3</w:t>
      </w:r>
    </w:p>
    <w:p>
      <w:r>
        <w:t>En l'espèce, la recourante se plaint d'une «appréciation arbitraire des faits»; en bref, elle reproche à l'autorité cantonale d'avoir, d'une part, attribué une force probante à une «expertise extrêmement partiale» et, d'autre part, de s'en être écartée «dans ses conclusions finales».</w:t>
      </w:r>
    </w:p>
    <w:p>
      <w:r>
        <w:rPr>
          <w:b/>
        </w:rPr>
        <w:t>E. 3.1</w:t>
      </w:r>
    </w:p>
    <w:p>
      <w:r>
        <w:t>De jurisprudence constante, le Tribunal fédéral reconnaît un large pouvoir aux autorités cantonales en matière de constatation des faits et d'appréciation des preuves ( ATF 120 Ia 31 consid. 4b p. 40; 104 Ia 381 consid. 9 p. 399). Il n'intervient, pour violation de l' art. 9 Cst. , que si le juge cantonal n'a manifestement pas compris le sens et la portée d'un moyen de preuve, a omis sans motifs sérieux de tenir compte de preuves pertinentes ou a effectué, sur la base des éléments recueillis, des déductions insoutenables ( ATF 129 I 8 consid. 2.1 p. 9); encore faut-il que la décision attaquée en soit viciée, non seulement dans ses motifs, mais aussi dans son résultat ( ATF 129 I 49 consid. 4 p. 58; 124 IV 86 consid. 2a p. 88).</w:t>
      </w:r>
    </w:p>
    <w:p>
      <w:r>
        <w:t>Lorsque la juridiction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L'autorité cantonale n'est point tenue de contrôler à l'aide d'ouvrages spécialisés l'exactitude scientifique des avis de l'expert. Il n'appartient pas non plus au Tribunal fédéral de vérifier que toutes les affirmations de l'expert sont exemptes d'arbitraire; sa tâche se limite à examiner si l'autorité cantonale pouvait, sans arbitraire, faire siennes les conclusions de l'expertise (arrêts 5P.421/2001 du 22 janvier 2002, consid. 4a; 5P.187/2001 du 29 octobre 2001, consid. 2a; 5P.457/2000 du 20 avril 2001, consid. 4a).</w:t>
      </w:r>
    </w:p>
    <w:p>
      <w:r>
        <w:rPr>
          <w:b/>
        </w:rPr>
        <w:t>E. 3.2</w:t>
      </w:r>
    </w:p>
    <w:p>
      <w:r>
        <w:t>La recourante ne prétend pas de manière motivée que l'expertise serait entachée de l'un des défauts énumérés précédemment. Quant à la partialité de l'expert, elle n'est stigmatisée que dans le «résumé des faits» de l'acte de recours (p. 5/6 let. D); mais l'intéressée se contente ici de présenter sa propre version des faits, ce qui ne satisfait pas aux prescriptions légales de motivation ( art. 90 al. 1 let. b OJ ).</w:t>
      </w:r>
    </w:p>
    <w:p>
      <w:r>
        <w:t>-:-</w:t>
      </w:r>
    </w:p>
    <w:p>
      <w:r>
        <w:t>Le reproche adressé à l'autorité cantonale d'avoir substitué de façon arbitraire son appréciation à celle de l'expert est injustifié. Comme la recourante l'admet elle-même, le juge n'est pas impérativement lié par les conclusions de l'expertise, mais il peut s'en écarter, sauf à motiver son opinion (Hohl, Procédure civile, t. I, n. 1113/1114 et les références citées). En réalité, elle se plaint de ce que la juridiction précédente n'a pas suivi la proposition de l'expert (i.e. la garde alternée et l'exercice conjoint de l'autorité parentale), dont le rapport avait précisément pour but de «déterminer l'attribution du droit de garde»; or, la résolution de cette question incombe au seul juge, et non à l'expert ( ATF 132 II 257 consid. 4.4.1 p. 269; Hohl, op. cit., n. 1043). En tant qu'elle dénonce le caractère «très laconique» de la motivation - implicitement la violation de son droit d'être entendue ( art. 29 al. 2 Cst. ; ATF 126 I 97 consid. 2b p. 102/103) -, à savoir l'absence de requête commune des parents, le grief est infondé; quoique brève, cette motivation s'avère néanmoins suffisamment explicite pour saisir le sens et la portée de la décision en cause (cf. ATF 114 Ia 233 consid. 2d p. 242). Le point de savoir si ce motif est erroné ressortit au recours en réforme ( art. 43 al. 1 OJ ).</w:t>
      </w:r>
    </w:p>
    <w:p>
      <w:r>
        <w:t>La recourante n'ayant ainsi pas démontré qu'il était arbitraire de s'en tenir au rapport contesté, on ne saurait reprocher aux juges cantonaux de n'avoir pas ordonné de complément d'expertise (cf. ATF 118 Ia 144 consid. 1c p. 146; Hohl, op. cit., n. 1114, avec d'autres citations).</w:t>
      </w:r>
    </w:p>
    <w:p>
      <w:r>
        <w:rPr>
          <w:b/>
        </w:rPr>
        <w:t>E. 4</w:t>
      </w:r>
    </w:p>
    <w:p>
      <w:r>
        <w:t>En conclusion, le présent recours doit être rejeté dans la mesure de sa recevabilité, aux frais de la recourante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