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5P.205/2002 vom 24. Oktober 2002</w:t>
      </w:r>
    </w:p>
    <w:p>
      <w:r>
        <w:t>Bundesgericht, 2002-10-24, FR</w:t>
      </w:r>
    </w:p>
    <w:p>
      <w:r>
        <w:rPr>
          <w:b/>
        </w:rPr>
        <w:t xml:space="preserve">Quelle: </w:t>
      </w:r>
      <w:r>
        <w:t>https://mcp.opencaselaw.ch/entscheid/bger_5P.205_2002</w:t>
      </w:r>
    </w:p>
    <w:p>
      <w:r>
        <w:t>FR: TF 5P.205/2002 du 24 octobre 2002</w:t>
      </w:r>
    </w:p>
    <w:p>
      <w:r>
        <w:t>IT: TF 5P.205/2002 del 24 ottobre 2002</w:t>
      </w:r>
    </w:p>
    <w:p>
      <w:pPr>
        <w:pStyle w:val="Heading2"/>
      </w:pPr>
      <w:r>
        <w:t>Regeste</w:t>
      </w:r>
    </w:p>
    <w:p>
      <w:r>
        <w:t>Droit de la famille</w:t>
      </w:r>
    </w:p>
    <w:p>
      <w:pPr>
        <w:pStyle w:val="Heading2"/>
      </w:pPr>
      <w:r>
        <w:t>Erwägungen</w:t>
      </w:r>
    </w:p>
    <w:p>
      <w:r>
        <w:rPr>
          <w:b/>
        </w:rPr>
        <w:t>E. 1.1</w:t>
      </w:r>
    </w:p>
    <w:p>
      <w:r>
        <w:t>Dans la mesure où il concerne des mesures provisoires de divorce, respectivement de séparation de corps, l'arrêt attaqué ouvre la voie du recours de droit public ( ATF 126 III 261 consid. 1 p. 263 et les citations): le présent recours est dès lors recevable de ce chef. Formé en temps utile contre une décision finale rendue en dernière instance cantonale, il l'est également au regard des art. 86 al. 1 et 89 al. 1 OJ.</w:t>
      </w:r>
    </w:p>
    <w:p>
      <w:r>
        <w:rPr>
          <w:b/>
        </w:rPr>
        <w:t>E. 1.2</w:t>
      </w:r>
    </w:p>
    <w:p>
      <w:r>
        <w:t>Le recours de droit public revêt fondamentalement un caractère cassatoire ( ATF 126 I 213 consid. 1c p. 216/217; 126 II 377 consid. 8c p. 395; 126 III 534 consid. 1b p. 536 et les arrêts cités). En matière de déni de justice, le Tribunal fédéral peut, dans certaines hypothèses, enjoindre à une autorité cantonale d'entrer en matière (cf. Philippe Gerber, La nature cassatoire du recours de droit public, thèse Genève 1997, p. 239). Quoi qu'il en soit, cette exception à la nature cassatoire du recours de droit public demeure théorique, dans la mesure où la conséquence d'une violation de l'interdiction du déni de justice formel ne peut être que l'obligation de rendre une nouvelle décision, donc le renvoi de l'affaire à l'autorité cantonale. Les conclusions prises en ce sens par le recourant sont par conséquent superflues (arrêt du Tribunal fédéral 1P.198/1999 du 18 juin 1999 consid. 2b, in Pra 89/2000 n° 147 p. 860).</w:t>
      </w:r>
    </w:p>
    <w:p>
      <w:r>
        <w:rPr>
          <w:b/>
        </w:rPr>
        <w:t>E. 2</w:t>
      </w:r>
    </w:p>
    <w:p>
      <w:r>
        <w:t>Le recourant reproche à l'autorité intimée d'avoir commis un déni de justice formel, au sens de l' art. 29 al. 1 Cst. , en ne se prononçant pas sur les conclusions prises dans son appel contre le jugement du Tribunal de première instance du 14 août 2001, tendant à la suppression de toute contribution d'entretien versée en faveur de l'épouse à titre provisoire.</w:t>
      </w:r>
    </w:p>
    <w:p>
      <w:r>
        <w:rPr>
          <w:b/>
        </w:rPr>
        <w:t>E. 2.1</w:t>
      </w:r>
    </w:p>
    <w:p>
      <w:r>
        <w:t>Selon la jurisprudence rendue en application de l' art. 4 aCst. , qui garde toute sa valeur sous l'empire de l' art. 29 al. 1 Cst. , une autorité de jugement commet un déni de justice formel si elle refuse indûment de se prononcer sur une requête dont l'examen relève de sa compétence ( ATF 117 Ia 116 consid. 3a p. 117/118 et les arrêts cités), ce qu'il appartient au recourant d'établir ( ATF 87 I 241 consid. 3 p. 246). Ainsi, la juridiction qui n'entre pas en matière sur un recours qui lui est soumis dans un domaine dont elle a la compétence matérielle, locale et fonctionnelle pour en connaître commet un déni de justice formel ( ATF 118 Ib 381 consid. 2b/bb p. 390/391; 117 Ia 116 précité et les références).</w:t>
      </w:r>
    </w:p>
    <w:p>
      <w:r>
        <w:rPr>
          <w:b/>
        </w:rPr>
        <w:t>E. 2.2</w:t>
      </w:r>
    </w:p>
    <w:p>
      <w:r>
        <w:t>En l'espèce, l'autorité cantonale a considéré qu'il n'y avait pas lieu d'examiner les conclusions sur mesures provisoires qui lui étaient soumises, dès lors que les parties étaient déboutées de leurs conclusions tant en divorce qu'en séparation de corps. Ce raisonnement est erroné. En effet, les mesures provisoires restent en vigueur jusqu'au moment où la demande en divorce ou en séparation de corps est définitivement tranchée; or, tel ne peut être le cas avant l'expiration du délai de recours en réforme au Tribunal fédéral lorsque, comme en l'espèce, celui-ci est ouvert, l'effet suspensif intervenant de plein droit ( art. 54 al. 2 OJ ; cf. Poudret, Commentaire de la loi fédérale d'organisation judiciaire, n. 2.1 ad art. 54, p. 405). Par ailleurs, les mesures provisoires ordonnées dans un procès en divorce ou en séparation de corps peuvent être modifiées en cours de procédure, aux mêmes conditions que sous l'ancien droit, en cas de changement important et durable des circonstances. Même en l'absence de faits nouveaux, le juge peut corriger sa décision lorsque le requérant établit que celle-ci reposait sur des constatations inexactes ou sur une mauvaise appréciation des faits (Leuenberger, Praxiskommentar Scheidungsrecht, 2000, n. 17 ad art. 137 CC et les références citées). La décision de modification des contributions d'entretien peut prendre effet au moment du dépôt de la requête - voire exceptionnellement avant -, l'octroi d'un tel effet rétroactif relevant toutefois de l'appréciation du juge ( ATF 111 II 103 consid. 4 p. 107 s.; Leuenberger, op. cit., n. 18 ad art. 137 CC ). Le fait que la première décision entrée en force constituait un titre de mainlevée définitive ( ATF 115 III 97 consid. 3a p. 99) ne fait pas obstacle à un tel effet rétroactif. Les mesures provisoires bénéficient ainsi de la force de chose jugée relative, en ce sens qu'elles déploient leurs effets pour la durée du procès tant et aussi longtemps qu'elles n'ont pas été modifiées. Dans sa requête du 22 mai 2001, le mari a pris des conclusions sur nouvelles mesures provisoires tendant à la suppression de toute contribution d'entretien en faveur de l'épouse. Ces conclusions ayant été rejetées le 14 août 2001 par le Tribunal de première instance, le requérant a appelé de ce jugement auprès de la Cour de justice, en reprenant les mêmes conclusions. Au vu de ce qui précède, l'autorité cantonale devait se prononcer sur une éventuelle modification de la rente due à l'épouse. En ne statuant pas sur ce point, elle a ainsi commis un déni de justice formel.</w:t>
      </w:r>
    </w:p>
    <w:p>
      <w:r>
        <w:rPr>
          <w:b/>
        </w:rPr>
        <w:t>E. 3</w:t>
      </w:r>
    </w:p>
    <w:p>
      <w:r>
        <w:t>En conclusion, le recours apparaît bien fondé et doit par conséquent être admis. Les frais et dépens de la procédure seront dès lors supportés par l'intimée,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