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5P.203/2004 vom 21. Oktober 2004</w:t>
      </w:r>
    </w:p>
    <w:p>
      <w:r>
        <w:t>Bundesgericht, 2004-10-21, FR</w:t>
      </w:r>
    </w:p>
    <w:p>
      <w:r>
        <w:rPr>
          <w:b/>
        </w:rPr>
        <w:t xml:space="preserve">Quelle: </w:t>
      </w:r>
      <w:r>
        <w:t>https://mcp.opencaselaw.ch/entscheid/bger_5P.203_2004</w:t>
      </w:r>
    </w:p>
    <w:p>
      <w:r>
        <w:t>FR: TF 5P.203/2004 du 21 octobre 2004</w:t>
      </w:r>
    </w:p>
    <w:p>
      <w:r>
        <w:t>IT: TF 5P.203/2004 del 21 ottobre 2004</w:t>
      </w:r>
    </w:p>
    <w:p>
      <w:pPr>
        <w:pStyle w:val="Heading2"/>
      </w:pPr>
      <w:r>
        <w:t>Regeste</w:t>
      </w:r>
    </w:p>
    <w:p>
      <w:r>
        <w:t>art. 9 Cst. (mesures provisoires) | Droit de la famille</w:t>
      </w:r>
    </w:p>
    <w:p>
      <w:pPr>
        <w:pStyle w:val="Heading2"/>
      </w:pPr>
      <w:r>
        <w:t>Erwägungen</w:t>
      </w:r>
    </w:p>
    <w:p>
      <w:r>
        <w:rPr>
          <w:b/>
        </w:rPr>
        <w:t>E. 1</w:t>
      </w:r>
    </w:p>
    <w:p>
      <w:r>
        <w:t>Le Tribunal fédéral examine d'office et librement la recevabilité des recours qui lui sont soumis ( ATF 129 I 173 consid. 1, 185 consid. 1; 129 II 225 consid. 1; 129 III 415 consid. 2.1).</w:t>
      </w:r>
    </w:p>
    <w:p>
      <w:r>
        <w:rPr>
          <w:b/>
        </w:rPr>
        <w:t>E. 1.1</w:t>
      </w:r>
    </w:p>
    <w:p>
      <w:r>
        <w:t>L'arrêt attaqué a été rendu au titre des mesures provisoires dans le cadre d'un procès en divorce. L' art. 137 al. 2 CC prévoit, pour cette hypothèse, l'application par analogie des dispositions régissant la protection de l'union conjugale. Malgré ce renvoi et contrairement à ce que laisse entendre l'arrêt attaqué (consid. 1 p. 5), celui-ci a été pris en application de l' art. 137 CC . Il ne constitue pas une décision finale au sens de l' art. 48 al. 1 OJ ( ATF 126 III 261 consid. 1), de sorte qu'il n'est pas susceptible de recours en réforme. Il en irait de même s'il s'agissait de mesures protectrices de l'union conjugale ( ATF 127 III 474 consid. 2). Les griefs invoqués ne pouvant être soumis par une autre voie au Tribunal fédéral ou à une autre autorité fédérale, la condition de subsidiarité du recours de droit public est remplie ( art. 84 al. 2 OJ ). Formé en temps utile contre un arrêt rendu en dernière instance cantonale, le recours est de même recevable au regard des art. 86 al. 1 et 89 al. 1 OJ.</w:t>
      </w:r>
    </w:p>
    <w:p>
      <w:r>
        <w:rPr>
          <w:b/>
        </w:rPr>
        <w:t>E. 1.2</w:t>
      </w:r>
    </w:p>
    <w:p>
      <w:r>
        <w:t>Dans un recours de droit public pour arbitraire, les moyens de fait et de droit nouveaux sont exclus ( ATF 124 I 208 consid. 4b p. 212; 120 Ia 369 consid. 3b; 119 II 6 consid. 4a; 118 III 37 consid. 2a p. 39). Le Tribunal fédéral s'en tient, dès lors, aux faits constatés par la juridiction cantonale, à moins que le recourant ne démontre, par une motivation conforme aux exigences de l' art. 90 al. 1 let. b OJ (cf. à ce sujet: ATF 125 I 71 consid. 1c p. 76, 492 consid. 1b), que ces constatations sont arbitrairement fausses ou lacunaires ( ATF 118 Ia 20 consid. 5a p. 26). Sont donc irrecevables, en l'espèce, les allégations du recourant selon lesquelles l'intimée aurait sa famille à Genève, y aurait des activités à temps partiel rémunérées et le chalet serait d'accès difficile.</w:t>
      </w:r>
    </w:p>
    <w:p>
      <w:r>
        <w:rPr>
          <w:b/>
        </w:rPr>
        <w:t>E. 2</w:t>
      </w:r>
    </w:p>
    <w:p>
      <w:r>
        <w:t>Des mesures protectrices de l'union conjugale prises avant l'ouverture de l'action en divorce restent en vigueur tant qu'elles n'ont pas été modifiées par des mesures provisoires selon l' art. 137 al. 2 CC ( ATF 129 III 60 consid. 2). Les époux en instance de divorce peuvent solliciter la modification de mesures protectrices de l'union conjugale notamment si, depuis l'entrée en vigueur de celles-ci, les circonstances de fait ont changé d'une manière essentielle et durable ( art. 179 al. 1 CC ; Urs Gloor, in Commentaire bâlois, 2e éd., n. 4 ad art. 137 CC ).</w:t>
      </w:r>
    </w:p>
    <w:p>
      <w:r>
        <w:rPr>
          <w:b/>
        </w:rPr>
        <w:t>E. 2.1</w:t>
      </w:r>
    </w:p>
    <w:p>
      <w:r>
        <w:t>Dans un premier grief, le recourant fait valoir que l'arrêt attaqué applique de façon arbitraire l' art. 179 al. 1 CC , en ce sens qu'il n'existerait pas, en l'espèce, de faits nouveaux, durables et importants de nature à justifier de nouvelles mesures provisoires. Il est douteux que, tel qu'il est formulé, ce grief réponde aux exigences posées par l' art. 90 al. 1 let. b OJ . Quoi qu'il en soit, il est de toute façon infondé, car les mesures provisoires querellées ont été prises en fonction de l'état de santé de l'intimée, qui est un élément nouveau par rapport à la procédure des mesures protectrices antérieure.</w:t>
      </w:r>
    </w:p>
    <w:p>
      <w:r>
        <w:rPr>
          <w:b/>
        </w:rPr>
        <w:t>E. 2.2</w:t>
      </w:r>
    </w:p>
    <w:p>
      <w:r>
        <w:t>Dans un deuxième grief, le recourant soutient que l'autorité cantonale a procédé à une appréciation arbitraires des preuves, en particulier des certificats médicaux produits par l'intimée dans la procédure de mesures provisoires. Selon la jurisprudence, l'arbitraire, prohibé par l' art. 9 Cst. , ne résulte pas du seul fait qu'une autre solution pourrait entrer en considération ou même être préférable; le Tribunal fédéral n'annule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 ATF 127 I 54 consid. 2b, 60 consid. 5a p. 70). Lorsque la partie recourante - comme ici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Tel n'est pas le cas en l'espèce. Il ressort en effet clairement des certificats produits par l'intimée que l'état psychique de celle-ci est fragilisé par sa situation de couple et ses fréquents déplacements entre Genève et le Valais et que, pour le confort de son état de santé physique et moral, il serait hautement souhaitable qu'elle puisse prendre un domicile fixe. Il n'est dès lors pas arbitraire de considérer que l'équilibre physique et psychique de l'intimée est atteint. En ce qui concerne les "déménagements" réguliers, susceptibles - selon l'autorité cantonale - de porter atteinte audit équilibre physique et psychique, le recourant fait valoir que la décision attaquée est insoutenable et contradictoire dès lors que l'attribution du chalet impliquerait l'obligation pour l'intimée de se déplacer chaque fois chez ses enfants avec relativement beaucoup de matériel et d'objets. Ce grief est dénué de pertinence, car l'atteinte à la santé fondant l'attribution d'un domicile fixe existe indépendamment de la quantité de matériel et d'objets à déplacer lors des déménagements liés à l'alternance.</w:t>
      </w:r>
    </w:p>
    <w:p>
      <w:r>
        <w:rPr>
          <w:b/>
        </w:rPr>
        <w:t>E. 2.3</w:t>
      </w:r>
    </w:p>
    <w:p>
      <w:r>
        <w:t>Dans un dernier grief, le recourant soutient que la modification du statut provisionnel ne se justifie pas parce que, la procédure de divorce devant aboutir rapidement, le changement de circonstances serait de courte durée. Il semble ainsi faire valoir une application arbitraire de l' art. 179 al. 1 CC , mais il ne motive pas ce grief d'une façon suffisante au regard de l' art. 90 al. 1 let. b OJ . Le grief est d'ailleurs infondé, car la durée de la procédure est imprévisible et non pas certainement courte. Le recours doit donc être rejeté dans la mesure où il est recevable.</w:t>
      </w:r>
    </w:p>
    <w:p>
      <w:r>
        <w:rPr>
          <w:b/>
        </w:rPr>
        <w:t>E. 3</w:t>
      </w:r>
    </w:p>
    <w:p>
      <w:r>
        <w:t>Le recourant, qui succombe, doit supporter les frais judiciaires. Il n'a en revanche pas à payer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