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5P.18/2005 vom 15. März 2005</w:t>
      </w:r>
    </w:p>
    <w:p>
      <w:r>
        <w:t>Bundesgericht, 2005-03-15, DE</w:t>
      </w:r>
    </w:p>
    <w:p>
      <w:r>
        <w:rPr>
          <w:b/>
        </w:rPr>
        <w:t xml:space="preserve">Quelle: </w:t>
      </w:r>
      <w:r>
        <w:t>https://mcp.opencaselaw.ch/entscheid/bger_5P.18_2005</w:t>
      </w:r>
    </w:p>
    <w:p>
      <w:r>
        <w:t>FR: TF 5P.18/2005 du 15 mars 2005</w:t>
      </w:r>
    </w:p>
    <w:p>
      <w:r>
        <w:t>IT: TF 5P.18/2005 del 15 marzo 2005</w:t>
      </w:r>
    </w:p>
    <w:p>
      <w:pPr>
        <w:pStyle w:val="Heading2"/>
      </w:pPr>
      <w:r>
        <w:t>Erwägungen</w:t>
      </w:r>
    </w:p>
    <w:p>
      <w:r>
        <w:rPr>
          <w:b/>
        </w:rPr>
        <w:t>E. 1.1</w:t>
      </w:r>
    </w:p>
    <w:p>
      <w:r>
        <w:t>Die gerügten Verfassungsverletzungen sind der staatsrechtlichen Beschwerde zugänglich und können mit keinem anderen Rechtsmittel beim Bundesgericht vorgetragen werden (Art. 84 Abs. 1 lit. a und 84 Abs. 2 OG). Beim angefochtenen Beschluss handelt es sich um einen selbständig eröffneten, letztinstanzlichen Zwischenentscheid betreffend Abweisung des Gesuchs um Fristwiederherstellung (Art. 86 Abs. 1, 87 Abs. 2 OG).</w:t>
      </w:r>
    </w:p>
    <w:p>
      <w:r>
        <w:rPr>
          <w:b/>
        </w:rPr>
        <w:t>E. 1.2</w:t>
      </w:r>
    </w:p>
    <w:p>
      <w:r>
        <w:t>Mit der Abweisung des Gesuchs um Fristwiederherstellung endet das Verfahren für die Beschwerdeführerin mit einem Prozessverlust, womit sie über ein persönliches rechtliches Interesse an der Beschwerdeführung verfügt ( Art. 88 OG ). Auf ihre im Übrigen frist- und formgerecht eingereichte staatsrechtliche Beschwerde (Art. 89 Abs. 1 und 90 Abs. 1 OG) ist demnach einzutreten.</w:t>
      </w:r>
    </w:p>
    <w:p>
      <w:r>
        <w:rPr>
          <w:b/>
        </w:rPr>
        <w:t>E. 1.3</w:t>
      </w:r>
    </w:p>
    <w:p>
      <w:r>
        <w:t>Als Vertreter der Beschwerdeführerin hat der zweitgenannte Beschwerdeführer unter Umständen mit Haftpflichtansprüchen zu rechnen; er verfügt daher zwar über ein tatsächliches, aber kein rechtliches Interesse an der Beschwerdeführung ( Art. 88 OG ; 114 Ia 20 E. 1 S. 21 f.) und ist durch den angefochtenen Beschluss auch nicht unmittelbar betroffen ( BGE 113 Ia 94 E. 1 S. 95 f.). Auf seine staatsrechtliche Beschwerde ist nicht einzutreten.</w:t>
      </w:r>
    </w:p>
    <w:p>
      <w:r>
        <w:rPr>
          <w:b/>
        </w:rPr>
        <w:t>E. 2</w:t>
      </w:r>
    </w:p>
    <w:p>
      <w:r>
        <w:t>Die Beschwerdeführerin rügt eine Verletzung des rechtlichen Gehörs gemäss Art. 29 Abs. 2 BV und kritisiert den obergerichtlichen Beschluss ferner als gegen Art. 9 BV verstossend. Das Recht, angehört zu werden, ist formeller Natur. Seine Verletzung führt ungeachtet der Erfolgsaussichten in der Sache selbst zur Aufhebung des angefochtenen Beschlusses ( BGE 126 V 130 E. 2b mit Hinweisen). Die Rüge ist demnach vorweg zu behandeln.</w:t>
      </w:r>
    </w:p>
    <w:p>
      <w:r>
        <w:rPr>
          <w:b/>
        </w:rPr>
        <w:t>E. 3</w:t>
      </w:r>
    </w:p>
    <w:p>
      <w:r>
        <w:t>Zur Begründung des Vorwurfs der Verletzung des rechtlichen Gehörs macht die Beschwerdeführerin geltend, ihr Anwalt sei bei der Auslegung des obergerichtlichen Schreibens vom 30. September 2003 nach dem Vertrauensprinzip davon ausgegangen, das Obergericht habe eine Frist mit zwei fristgebundenen Handlungen und nicht zwei getrennte Fristen angesetzt. Dieses Verständnis sei ihr als Mandantin anzurechnen. Die Gegenpartei habe in Ziff. 3 auf Seite 2 ihrer Stellungnahme vom 15. November 2004 vorgetragen, dass zwei getrennte Fristen angeordnet worden seien, die getrennt zu notieren gewesen wären. Dabei handle es sich um einen erheblichen Gesichtspunkt, welcher überdies durch die Stellungnahme der privaten Gegenpartei erstmals in das Fristwiederherstellungsverfahren eingebracht worden sei. Zu diesem, einen wesentlichen Gesichtspunkt betreffenden Vorbringen habe die Beschwerdeführerin nicht Stellung nehmen können, womit ihr Anspruch auf rechtliches Gehör verletzt worden sei.</w:t>
      </w:r>
    </w:p>
    <w:p>
      <w:r>
        <w:rPr>
          <w:b/>
        </w:rPr>
        <w:t>E. 4.1</w:t>
      </w:r>
    </w:p>
    <w:p>
      <w:r>
        <w:t>Der Gehörsanspruch von Art. 29 Abs. 2 BV (früher Art. 4 aBV ) verleiht der Beschwerdeführerin kein Recht auf Replik. Von diesem Grundsatz macht das Bundesgericht eine Ausnahme, wenn in der Beschwerdeantwort neue und erhebliche Gesichtspunkte geltend gemacht werden, zu denen die Beschwerdeführerin noch keine Stellung nehmen konnte ( BGE 111 Ia 2 E. 3 S. 3 mit Hinweisen). Während die Beschwerdeführerin in der Stellungnahme der Gegenpartei vom 15. November 2004 einen neuen und erheblichen Gesichtspunkt erkennt, wird dies vom Obergericht und von der Beschwerdegegnerin bestritten. Aufgrund der Ausführungen der Parteien erscheint zumindest fraglich, ob es sich bei diesem Vorbringen um einen erheblichen Gesichtspunkt handelt, der zwingend zur Replik berechtigt. Wie es sich damit verhält, kann indes offen bleiben.</w:t>
      </w:r>
    </w:p>
    <w:p>
      <w:r>
        <w:rPr>
          <w:b/>
        </w:rPr>
        <w:t>E. 4.2</w:t>
      </w:r>
    </w:p>
    <w:p>
      <w:r>
        <w:t>Nebst Art. 29 Abs. 2 BV verbürgt auch das Recht auf ein faires Verfahren gemäss Art. 6 Ziff. 1 EMRK das rechtliche Gehör (Urteil 5P.256/2002 vom 4. September 2002, E. 2.1). Umfang und Tragweite des Anspruchs gemäss Art. 29 Abs. 2 BV sind anhand der Rechtsprechung des Europäischen Gerichtshofs für Menschenrechte zu Art. 6 Ziff. 1 EMRK auszulegen (Urteil 1P.730/2001 vom 31. Januar 2002, E. 2.1).</w:t>
      </w:r>
    </w:p>
    <w:p>
      <w:r>
        <w:rPr>
          <w:b/>
        </w:rPr>
        <w:t>E. 4.3</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 Das Bundesgericht hat diese Rechtsprechung später unter anderem in drei den Kanton Thurgau betreffenden Fällen bestätigt (Urteile 5P.446/2003, 5P.18/2004, je vom 2. März 2004 sowie 5P.314/2004 vom 1. November 2004).</w:t>
      </w:r>
    </w:p>
    <w:p>
      <w:r>
        <w:rPr>
          <w:b/>
        </w:rPr>
        <w:t>E. 4.4</w:t>
      </w:r>
    </w:p>
    <w:p>
      <w:r>
        <w:t>Im vorliegenden Fall ist die Stellungnahme der Gegenpartei vom 15. November 2004 unbestrittenermassen der Beschwerdeführerin nicht vor dem angefochtenen Beschluss zugestellt worden. Im Lichte der aufgezeigten Rechtsprechung des Gerichtshofs hat das Obergericht den Anspruch der Beschwerdeführerin auf rechtliches Gehör verletzt; ob in der Stellungnahme der Beschwerdegegnerin ein neuer und für den Sachentscheid wesentlicher Gesichtspunkt vorgetragen worden ist oder nicht, erweist sich nach der aufgezeigten Judikatur als belanglos. Eine Heilung des Mangels kommt nicht in Frage, zumal das Bundesgericht in der Sache über eine geringere Kognition verfügt als das Obergericht (zu den Heilungsvoraussetzungen im Verfahren der staatsrechtlichen Beschwerde: BGE 126 I 68 E. 2 S. 72).</w:t>
      </w:r>
    </w:p>
    <w:p>
      <w:r>
        <w:rPr>
          <w:b/>
        </w:rPr>
        <w:t>E. 5</w:t>
      </w:r>
    </w:p>
    <w:p>
      <w:r>
        <w:t>Damit ist die staatsrechtliche Beschwerde der Beschwerdeführerin ohne Prüfung der Willkürrüge gutzuheissen und der angefochtene Beschluss aufzuheben. Unter Berücksichtigung des Umstandes, dass auf die Eingabe des Beschwerdeführers nicht eingetreten wurde, rechtfertigt es sich, die Gerichtsgebühr zur Hälfte dem Beschwerdeführer aufzuerlegen; die andere Hälfte trägt die Beschwerdegegnerin, welche Abweisung der Beschwerde bzw. Nichteintreten auf die Beschwerde beantragt hat ( Art. 156 Abs. 3 OG ). Ausgangsgemäss hat der Beschwerdeführer die Beschwerdegegnerin, die Beschwerdegegnerin hingegen die Beschwerdeführerin zu entschädigen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