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5P.18/2004 vom 2. März 2004</w:t>
      </w:r>
    </w:p>
    <w:p>
      <w:r>
        <w:t>Bundesgericht, 2004-03-02, DE</w:t>
      </w:r>
    </w:p>
    <w:p>
      <w:r>
        <w:rPr>
          <w:b/>
        </w:rPr>
        <w:t xml:space="preserve">Quelle: </w:t>
      </w:r>
      <w:r>
        <w:t>https://mcp.opencaselaw.ch/entscheid/bger_5P.18_2004</w:t>
      </w:r>
    </w:p>
    <w:p>
      <w:r>
        <w:t>FR: TF 5P.18/2004 du 2 mars 2004</w:t>
      </w:r>
    </w:p>
    <w:p>
      <w:r>
        <w:t>IT: TF 5P.18/2004 del 2 marzo 2004</w:t>
      </w:r>
    </w:p>
    <w:p>
      <w:pPr>
        <w:pStyle w:val="Heading2"/>
      </w:pPr>
      <w:r>
        <w:t>Regeste</w:t>
      </w:r>
    </w:p>
    <w:p>
      <w:r>
        <w:t>Personenrecht</w:t>
      </w:r>
    </w:p>
    <w:p>
      <w:pPr>
        <w:pStyle w:val="Heading2"/>
      </w:pPr>
      <w:r>
        <w:t>Erwägungen</w:t>
      </w:r>
    </w:p>
    <w:p>
      <w:r>
        <w:rPr>
          <w:b/>
        </w:rPr>
        <w:t>E. 1</w:t>
      </w:r>
    </w:p>
    <w:p>
      <w:r>
        <w:t>Das Obergericht hält in seiner Vernehmlassung dafür, in Fällen wie dem vorliegenden werde ein doppelter Schriftenwechsel nur ausnahmsweise, insbesondere dann durchgeführt, wenn die Berufungsantwort wesentliche neue Gesichtspunkte enthalte. Das habe im konkreten Fall nicht zugetroffen, und der Beschwerdeführer habe Entsprechendes auch nicht behauptet. Dem Beschwerdeführer sei aus verschiedensten Verfahren bekannt, dass die Rechtsmittelantwort erst mit dem Endentscheid zugestellt werde. Das angefochtene Urteil stütze sich auf die gleichen Umstände wie der erstinstanzliche Entscheid. Die Beschwerdegegnerin weist darauf hin, dass ein zweiter Schriftenwechsel nicht vorgesehen sei.</w:t>
      </w:r>
    </w:p>
    <w:p>
      <w:r>
        <w:rPr>
          <w:b/>
        </w:rPr>
        <w:t>E. 2.1</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hat sich der Praxis des Gerichtshofs angeschlossen (Urteil H 213 1998 vom 1. Februar 1999, E. 1a, auszugsweise in: SZIER 1999 S. 553).</w:t>
      </w:r>
    </w:p>
    <w:p>
      <w:r>
        <w:rPr>
          <w:b/>
        </w:rPr>
        <w:t>E. 2.2</w:t>
      </w:r>
    </w:p>
    <w:p>
      <w:r>
        <w:t>Im vorliegenden Fall wurde dem Beschwerdeführer die Berufungsantwort, in welcher die Gegenpartei auf Abweisung der Berufung schloss, nicht zugestellt. Nach der gefestigten Rechtsprechung zum Grundsatz des fairen Verfahrens hängt das Recht der Parteien, sämtliche Eingaben zugestellt zu erhalten und dazu Stellung nehmen zu können, weder von Noven tatsächlicher oder rechtlicher Art noch von einem allfälligen Einfluss von Bemerkungen auf das Urteil ab. Im Lichte der aufgezeigten Rechtsprechung hat das Obergericht den Anspruch des Beschwerdeführers auf ein faires Verfahren verletzt; dies erst recht, da es im angefochtenen Urteil auf die Antwort hingewiesen und sie somit nicht unbeachtet gelassen hat. Dass das kantonale Recht nach den Ausführungen des Obergerichts und der Beschwerdegegnerin nur ausnahmsweise das Recht einräumt, zur Berufungsantwort Stellung zu nehmen, ist nach dem Gesagten nicht von Belang.</w:t>
      </w:r>
    </w:p>
    <w:p>
      <w:r>
        <w:rPr>
          <w:b/>
        </w:rPr>
        <w:t>E. 2.3</w:t>
      </w:r>
    </w:p>
    <w:p>
      <w:r>
        <w:t>Eine Heilung des Mangels käme nur in Frage, wenn das Bundesgericht die gleiche Kognition hätte wie das Obergericht und sich der Beschwerdeführer zu allen in der Berufungsantwort enthaltenen Vorbringen äussern könnte (zu den Heilungsvoraussetzungen im Verfahren der staatsrechtlichen Beschwerde: BGE 126 I 68 E. 2 S. 72). Das ist hier nicht der Fall. Es kann dem Beschwerdeführer somit auch nicht entgegengehalten werden, vor Bundesgericht nicht (eventualiter) zur Berufungsantwort Stellung genommen zu haben. Die staatsrechtliche Beschwerde ist daher gutzuheissen und das angefochtene Urteil aufzuheben.</w:t>
      </w:r>
    </w:p>
    <w:p>
      <w:r>
        <w:rPr>
          <w:b/>
        </w:rPr>
        <w:t>E. 3</w:t>
      </w:r>
    </w:p>
    <w:p>
      <w:r>
        <w:t>Bei diesem Ausgang des Verfahrens wird die Beschwerdegegnerin, die ausdrücklich auf Abweisung der staatsrechtlichen Beschwerde geschlossen hat, kostenpflichtig ( Art. 156 Abs. 1 OG ). Der nicht anwaltlich vertretene Beschwerdeführer hat eine kurze Beschwerde eingereicht und vor allem die damit verbundenen Auslagen weder dargetan noch belegt. Ihm ist daher für das bundesgerichtliche Verfahren keine Parteientschädigung zu Lasten der Beschwerdegegnerin zuzusprechen ( BGE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