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5P.183/2001 vom 3. August 2001</w:t>
      </w:r>
    </w:p>
    <w:p>
      <w:r>
        <w:t>Bundesgericht, 2001-08-03, DE</w:t>
      </w:r>
    </w:p>
    <w:p>
      <w:r>
        <w:rPr>
          <w:b/>
        </w:rPr>
        <w:t xml:space="preserve">Quelle: </w:t>
      </w:r>
      <w:r>
        <w:t>https://mcp.opencaselaw.ch/entscheid/bger_5P.183_2001</w:t>
      </w:r>
    </w:p>
    <w:p>
      <w:r>
        <w:t>FR: TF 5P.183/2001 du 3 août 2001</w:t>
      </w:r>
    </w:p>
    <w:p>
      <w:r>
        <w:t>IT: TF 5P.183/2001 del 3 agosto 2001</w:t>
      </w:r>
    </w:p>
    <w:p>
      <w:pPr>
        <w:pStyle w:val="Heading2"/>
      </w:pPr>
      <w:r>
        <w:t>Regeste</w:t>
      </w:r>
    </w:p>
    <w:p>
      <w:r>
        <w:t>Familienrecht</w:t>
      </w:r>
    </w:p>
    <w:p>
      <w:pPr>
        <w:pStyle w:val="Heading2"/>
      </w:pPr>
      <w:r>
        <w:t>Erwägungen</w:t>
      </w:r>
    </w:p>
    <w:p>
      <w:r>
        <w:rPr>
          <w:b/>
        </w:rPr>
        <w:t>E. 1</w:t>
      </w:r>
    </w:p>
    <w:p>
      <w:r>
        <w:t>A.________,</w:t>
      </w:r>
    </w:p>
    <w:p>
      <w:r>
        <w:rPr>
          <w:b/>
        </w:rPr>
        <w:t>E. 2</w:t>
      </w:r>
    </w:p>
    <w:p>
      <w:r>
        <w:t>a) Nach der Rechtsprechung des Bundesgerichts zu Art. 88 OG muss die beschwerdeführende Person grundsätzlich ein aktuelles praktisches Interesse an der Aufhebung des angefochtenen Entscheids bzw. an der Überprüfung der von ihm erhobenen Rügen haben, damit auf die Beschwerde eingetreten werden kann ( BGE 125 I 394 E. 4a S. 397; 116 Ia 359 E. 2a S. 363; 114 Ia 88 E. 5b S. 90). Fällt das Interesse im Verlaufe des Verfahrens dahin, erklärt das Gericht den Rechtsstreit als erledigt ( BGE 123 II 285 E. 4 S. 286), wobei es mit summarischer Begründung über die Prozesskosten aufgrund der Sachlage vor Eintritt des Erledigungsgrundes entscheidet ( Art. 72 BZP i.V.m. Art. 40 OG ; BGE 123 II 285 E. 5 S. 288). b) Das Verwaltungsgericht hat sich für die Beurteilung der fürsorgerischen Freiheitsentziehung ab 1. August 2001 und den damit verbundenen Obhutsentzug als zuständig erachtet (vgl. nicht amtlich publ. Urteil des Bundesgerichts vom 7. Mai 2001 [5C. 84/2001], E. 1a, betreffend die Unzulässigkeit getrennter Überprüfung beider Massnahmen [ Art. 310 und 314a ZGB ]). Es hat es aber abgelehnt, das Begehren um Wiedererteilung der Obhut, losgelöst vom Freiheitsentzug, d.h. für die Zeit bis 31. Juli 2001, mitzubeurteilen. Für den Zeitraum danach hat das Verwaltungsgericht das Rechtsmittel der Beschwerdeführerinnen gutgeheissen; die Sache ist diesbezüglich wieder beim Regierungsstatthalter Y.________ hängig. Am unbeurteilt gebliebenen Obhutsentzug bis 31. Juli 2001 vermöchte im heutigen Zeitpunkt eine Gutheissung der staatsrechtlichen Beschwerde nichts mehr zu ändern. Das Obergericht käme nicht mehr in die Lage, die bei ihm eingereichte Beschwerde diesbezüglich noch rechtzeitig zu behandeln. Das aktuelle Interesse an der Beurteilung der staatsrechtlichen Beschwerde ist damit dahingefallen, weshalb diese wegen Wegfalls des Interesses als erledigt zu erklären ist.</w:t>
      </w:r>
    </w:p>
    <w:p>
      <w:r>
        <w:rPr>
          <w:b/>
        </w:rPr>
        <w:t>E. 3</w:t>
      </w:r>
    </w:p>
    <w:p>
      <w:r>
        <w:t>Was die Kosten des Verfahrens betrifft, so ist bei summarischer Prüfung der Rechtslage anzunehmen, dass die staatsrechtliche Beschwerde wohl gutzuheissen gewesen wäre, denn es liegt eine Rechtsverweigerung vor ( BGE 117 Ia 116 E. 3a S. 117), wenn sich keines der beiden höchsten kantonalen Gerichte für zuständig erachtet, das Begehren um Wiedererteilung der Obhut zu beurteilen, bzw. das Obergericht das Eintreten verweigert, obwohl es zuständig ist. Für das bundesgerichtliche Verfahren sind demnach keine Kosten zu erheben ( Art. 156 Abs. 1 und 2 OG ), und der Kanton Luzern ist zu verpflichten, die Beschwerdeführerinnen für das bundesgerichtliche Verfahren zu entschädigen ( Art. 159 Abs. 2 OG ). Für die Bemessung des Honorars ist dem eher geringen Arbeitsaufwand des Anwalts Rechnung zu tragen (Art. 6 Abs. 2 des Tarifs über die Entschädigungen an die Gegenpartei für das Verfahren vor dem Bundesgericht,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