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5P.182/2004 vom 1. Juli 2004</w:t>
      </w:r>
    </w:p>
    <w:p>
      <w:r>
        <w:t>Bundesgericht, 2004-07-01, DE</w:t>
      </w:r>
    </w:p>
    <w:p>
      <w:r>
        <w:rPr>
          <w:b/>
        </w:rPr>
        <w:t xml:space="preserve">Quelle: </w:t>
      </w:r>
      <w:r>
        <w:t>https://mcp.opencaselaw.ch/entscheid/bger_5P.182_2004</w:t>
      </w:r>
    </w:p>
    <w:p>
      <w:r>
        <w:t>FR: TF 5P.182/2004 du 1 juillet 2004</w:t>
      </w:r>
    </w:p>
    <w:p>
      <w:r>
        <w:t>IT: TF 5P.182/2004 del 1 luglio 2004</w:t>
      </w:r>
    </w:p>
    <w:p>
      <w:pPr>
        <w:pStyle w:val="Heading2"/>
      </w:pPr>
      <w:r>
        <w:t>Erwägungen</w:t>
      </w:r>
    </w:p>
    <w:p>
      <w:r>
        <w:rPr>
          <w:b/>
        </w:rPr>
        <w:t>E. 1</w:t>
      </w:r>
    </w:p>
    <w:p>
      <w:r>
        <w:t>Die staatsrechtliche Beschwerde ist, von hier nicht in Betracht fallenden Ausnahmen abgesehen, rein kassatorischer Natur ( BGE 129 I 129 E. 1.2.1 S. 131 f. mit Hinweisen). Soweit die Beschwerdeführerin (eventualiter) mehr verlangt als die Aufhebung des angefochtenen Entscheids, ist auf die Beschwerde daher nicht einzutreten. Im Übrigen wäre die erkennende Abteilung ohnehin nicht in der Lage, der Beschwerdeführerin das Armenrecht für das kantonale Verfahren zuzusprechen, da sich das Obergericht weder zum Erfordernis der Bedürftigkeit noch zu den Erfolgsaussichten des Begehrens der Beschwerdeführerin in der Sache geäussert hat.</w:t>
      </w:r>
    </w:p>
    <w:p>
      <w:r>
        <w:rPr>
          <w:b/>
        </w:rPr>
        <w:t>E. 2.1</w:t>
      </w:r>
    </w:p>
    <w:p>
      <w:r>
        <w:t>Die Beschwerdeführerin wirft dem Obergericht sowohl eine willkürliche Anwendung von § 35 Abs. 3 des Aargauer Verwaltungsrechtspflegegesetzes (wonach in Fällen, wo die Schwere einer Massnahme oder die Rechtslage es als gerechtfertigt erscheinen lässt, ein unentgeltlicher Rechtsvertreter bestellt werden kann) als auch einen Verstoss gegen Art. 29 Abs. 3 BV vor. Sie geht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129 I 129 E. 2.1 S. 133 mit Hinweisen).</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t>Angesichts der obergerichtlichen Feststellung, das Verfahren vor der Vormundschaftsbehörde sei kostenfrei, ist das hiefür gestellte Armenrechtsgesuch der Beschwerdeführerin ausschliesslich bezüglich der unentgeltlichen Rechtsverbeiständung von Bedeutung.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125 V 32 E. 4b S. 35 f., mit Hinweisen).</w:t>
      </w:r>
    </w:p>
    <w:p>
      <w:r>
        <w:rPr>
          <w:b/>
        </w:rPr>
        <w:t>E. 3.1</w:t>
      </w:r>
    </w:p>
    <w:p>
      <w:r>
        <w:t>Die Notwendigkeit einer anwaltlichen Vertretung hat das Obergericht mit der Begründung verneint, das Verfahren vor der Vormundschaftsbehörde und den vormundschaftlichen Aufsichtsbehörden sei vergleichbar mit dem Verfahren vor den Betreibungs- und Konkursämtern und den betreibungsrechtlichen Aufsichtsbehörden. In beiden Fällen handle es sich um ein seiner Natur nach einfaches, von der Offizialmaxime beherrschtes Einparteienverfahren mit allenfalls weiteren Verfahrensbeteiligten. Für das Verfahren vor den Betreibungs- und Konkursämtern habe die unentgeltliche Rechtsvertretung stets ausser Frage gestanden und für das Beschwerdeverfahren sei festgestellt worden, dass ein strenger Massstab anzulegen und die Mitwirkung eines Rechtsanwalts in aller Regel nicht erforderlich sei. Das müsse für das Verfahren vor der Vormundschaftsbehörde um so mehr gelten, als diese, anders als eine obere Aufsichtsbehörde, nicht endgültig entscheide und zudem, wie auch die vormundschaftlichen Aufsichtsbehörden, im Rahmen der Offizialmaxime dafür zu sorgen habe, dass keinem Verfahrensbeteiligten wegen Unbeholfenheit Nachteile erwüchsen. Hinzu komme, dass der Entscheid einer Vormundschaftsbehörde durch die vormundschaftlichen Aufsichtsbehörden in deren Doppelfunktion als Aufsichts- und Beschwerdeinstanzen in einem Beschwerdeverfahren selbst bei Verwirkung der Beschwerdefrist und auch ausserhalb eines solchen Verfahrens von Amtes wegen aufgehoben werden könne, wenn er als Verstoss gegen eine klare Gesetzesvorschrift oder einen Rechtsgrundsatz im wohlverstandenen Interesse des Massnahmebedürftigen nicht hingenommen werden könnte.</w:t>
      </w:r>
    </w:p>
    <w:p>
      <w:r>
        <w:rPr>
          <w:b/>
        </w:rPr>
        <w:t>E. 3.2</w:t>
      </w:r>
    </w:p>
    <w:p>
      <w:r>
        <w:t>Die vom Obergericht erwähnte Untersuchungsmaxime und die von ihm angeführte Möglichkeit einer aufsichtsrechtlichen, von Amtes wegen anzuordnenden Aufhebung eines vormundschaftsbehördlichen Entscheids durch die Aufsichtsbehörden lassen eine anwaltliche Vertretung der am Verfahren Beteiligten nicht ohne weiteres als unnötig erscheinen (vgl. BGE 125 V 32 E. 4b S. 36):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(dazu BGE 128 III 411 E. 3.2.1 und 3.2.2 S. 412 ff.). An der in BGE 111 Ia 5 (E. 4 S. 9 f.) unter Hinweis auf die umfassende Beschwerdemöglichkeit geäusserten Auffassung, für das Verfahren zur Entziehung der elterlichen Gewalt vor der erstinstanzlichen vormundschaftlichen Aufsichtsbehörde bestehe generell kein Anspruch auf unentgeltliche Verbeiständung, kann nicht festgehalten werden.</w:t>
      </w:r>
    </w:p>
    <w:p>
      <w:r>
        <w:rPr>
          <w:b/>
        </w:rPr>
        <w:t>E. 3.3</w:t>
      </w:r>
    </w:p>
    <w:p>
      <w:r>
        <w:t>Der angefochtene Entscheid lässt sich sodann auch durch die Rechtsprechung des Bundesgerichts zum Verfahren vor den Betreibungsbehörden und den betreibungsrechtlichen Aufsichtsbehörden nicht stützen: Wohl wurde in BGE 122 I 8 (E. 2c S. 10) - unter Hinweis auf den Untersuchungsgrundsatz - festgehalten, die Mitwirkung eines Rechtsanwalts sei in aller Regel nicht erforderlich. Doch ist zu bedenken, dass sich diese Äusserung ausdrücklich auf die Ermittlung des pfändbaren Einkommens des Schuldners bezog, bei der die Betreibungsbehörden die massgebenden tatsächlichen Verhältnisse von Amtes wegen abzuklären haben und sich in der Tat nur selten anspruchsvolle Rechts- oder Tatfragen stellen. Der Auffassung des Obergerichts, das Gleiche treffe auch hier zu und es liege somit kein Fall vor, der eine unentgeltliche Rechtsverbeiständung rechtfertige, ist nicht beizupflichten:</w:t>
      </w:r>
    </w:p>
    <w:p>
      <w:r>
        <w:rPr>
          <w:b/>
        </w:rPr>
        <w:t>E. 3.3.1</w:t>
      </w:r>
    </w:p>
    <w:p>
      <w:r>
        <w:t>Das Bezirksamt Baden, auf dessen Entscheid vom 6. Januar 2004 sich das Obergericht beruft, hatte festgehalten, die Beschwerdeführerin habe in dem an die Vormundschaftsbehörde zu richtenden Rechtsbegehren auf Obhutszuweisung an sie die wesentlichen Änderungen ihrer persönlichen Verhältnisse vorzubringen und darzutun, dass keine Gefährdung des Kindeswohls bestehe. Die Vormundschaftsbehörde werde dann die als Voraussetzung für die Aufhebung des Gemeinderatsbeschlusses vom 3. Dezember 2001 behaupteten Verhältnisse von Amtes wegen zu prüfen und abzuklären haben. Es bestünden keine Anhaltspunkte dafür, dass die Beschwerdeführerin den durch ein solches Rechtsbegehren an sie gestellten Anforderungen intellektuell nicht gewachsen oder im eingeleiteten Verfahren aus irgend einem andern Grund überfordert sein könnte. Sodann ist dem Beschluss des Gemeinderats A.________ als Vormundschaftsbehörde vom 16. Juni 2003 zu entnehmen, dass der Beschwerdeführerin die elterliche Obhut wegen langjähriger instabiler Lebens- und Wohnsituation und wegen Drogenabhängigkeit entzogen worden war.</w:t>
      </w:r>
    </w:p>
    <w:p>
      <w:r>
        <w:rPr>
          <w:b/>
        </w:rPr>
        <w:t>E. 3.3.2</w:t>
      </w:r>
    </w:p>
    <w:p>
      <w:r>
        <w:t>Die Frage, ob die Obhut über das Mädchen wieder der Beschwerdeführerin zugewiesen werden könne, ist sehr heikel und vielschichtig. Ihre Beantwortung ist für die Beschwerdeführerin selbst - wie auch für das Kind und die Pflegemutter - von erheblicher Bedeutung. Der unter Berücksichtigung des Wohls des Kindes zu fällende Entscheid wird sehr stark in die persönliche Situation der Beschwerdeführerin als leiblicher Mutter eingreifen. Es ist für sie von grosser Wichtigkeit, dass im Verfahren die nach der Rechtsprechung entscheidwesentlichen Tatsachen vorgebracht und ins richtige Licht gerückt werden. Die bezirksamtliche Feststellung, die Beschwerdeführerin sei den Anforderungen, die das vor der Vormundschaftsbehörde hängige Verfahren an sie stelle, gewachsen, wird den gegebenen Umständen nicht gerecht. In Anbetracht der komplexen, von einem juristischen Laien nur sehr schwer überblickbaren Verhältnisse verbietet sich die Annahme, eine anwaltliche Vertretung sei für die Beschwerdeführerin nicht notwendig.</w:t>
      </w:r>
    </w:p>
    <w:p>
      <w:r>
        <w:rPr>
          <w:b/>
        </w:rPr>
        <w:t>E. 4</w:t>
      </w:r>
    </w:p>
    <w:p>
      <w:r>
        <w:t>Der mit der fehlenden Notwendigkeit begründete Entscheid des Obergerichts, der Beschwerdeführerin die unentgeltliche Rechtsverbeiständung für das von ihr eingeleitete vormundschaftliche Verfahren zu verweigern, verstösst nach dem Ausgeführten gegen Art. 29 Abs. 3 BV . Soweit auf die Beschwerde einzutreten ist, ist sie daher gutzuheissen. Bei diesem Ausgang ist keine Gerichtsgebühr zu erheben ( Art. 156 Abs. 2 OG ), der Kanton Aargau jedoch zu verpflichten, der Beschwerdeführerin eine Parteientschädigung zu zahlen ( Art. 159 Abs. 2 OG ). Da die Beschwerdeführerin diese ohne Zweifel ausbezahlt erhalten wird, ist ihr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