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5P.155/2002 vom 23. Mai 2002</w:t>
      </w:r>
    </w:p>
    <w:p>
      <w:r>
        <w:t>Bundesgericht, 2002-05-23, FR</w:t>
      </w:r>
    </w:p>
    <w:p>
      <w:r>
        <w:rPr>
          <w:b/>
        </w:rPr>
        <w:t xml:space="preserve">Quelle: </w:t>
      </w:r>
      <w:r>
        <w:t>https://mcp.opencaselaw.ch/entscheid/bger_5P.155_2002</w:t>
      </w:r>
    </w:p>
    <w:p>
      <w:r>
        <w:t>FR: TF 5P.155/2002 du 23 mai 2002</w:t>
      </w:r>
    </w:p>
    <w:p>
      <w:r>
        <w:t>IT: TF 5P.155/2002 del 23 maggio 2002</w:t>
      </w:r>
    </w:p>
    <w:p>
      <w:pPr>
        <w:pStyle w:val="Heading2"/>
      </w:pPr>
      <w:r>
        <w:t>Regeste</w:t>
      </w:r>
    </w:p>
    <w:p>
      <w:r>
        <w:t>Droit des poursuites et faillites</w:t>
      </w:r>
    </w:p>
    <w:p>
      <w:pPr>
        <w:pStyle w:val="Heading2"/>
      </w:pPr>
      <w:r>
        <w:t>Erwägungen</w:t>
      </w:r>
    </w:p>
    <w:p>
      <w:r>
        <w:rPr>
          <w:b/>
        </w:rPr>
        <w:t>E. 1</w:t>
      </w:r>
    </w:p>
    <w:p>
      <w:r>
        <w:t>a) Interjeté en temps utile contre une décision qui accorde en dernière instance cantonale la mainlevée provisoire de l'opposition ( ATF 120 Ia 256 consid. 1a, 116 III 70 consid. 1 et les arrêts cités), le recours est recevable au regard des art. 86 al. 1 et 89 al. 1 OJ. b) Saisi d'un recours de droit public pour arbitraire, le Tribunal fédéral ne procède pas à un libre examen de toutes les circonstances de la cause et ne rend pas un arrêt au fond, qui se substituerait à la décision attaquée. Il se borne à contrôler si l'autorité cantonale a observé les principes que la jurisprudence a déduits de l' art. 9 Cst. ( art. 4 aCst. ). Son examen ne porte d'ailleurs que sur les moyens invoqués par le recourant et motivés conformément aux exigences de l' art. 90 al. 1 let. b OJ ( ATF 125 I 71 consid. 1c p. 76, 492 consid. 1b p. 495; 122 I 70 consid. 1c p. 73; 119 Ia 197 consid. 1d p. 201 et les arrêts cités).</w:t>
      </w:r>
    </w:p>
    <w:p>
      <w:r>
        <w:rPr>
          <w:b/>
        </w:rPr>
        <w:t>E. 2</w:t>
      </w:r>
    </w:p>
    <w:p>
      <w:r>
        <w:t>Le recourant invoque l'interdiction de l'arbitraire; à son avis, la Cour cantonale a méconnu le texte clair de la quittance produite; elle aurait de plus arbitrairement écarté les éléments objectifs apportés par le poursuivi permettant de conclure à la vraisemblance du moyen libérateur invoqué. a) Selon la jurisprudence, l'arbitraire -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p. 250; 124 V 137 consid. 2b). b) Aux termes de l' art. 82 al. 1 LP ,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 ATF 122 III 125 consid. 2 in limine et les références citées). Le contrat de vente ordinaire constitue une reconnaissance de dette pour le prix de vente échu pour autant que le vendeur ait livré la chose vendue ou l'ait consignée lorsque le prix était payable d'avance ou au comptant (Gilliéron, Commentaire de la loi fédérale sur la poursuite pour dettes et la faillite, Lausanne 1999, n. 46 ad art. 82 LP ; Panchaud/Caprez, La mainlevée d'opposition, 2ème éd., Zurich 1980, § 71). Selon l' art. 82 al. 2 LP , le juge, en présence d'une reconnaissance de dette au sens de l'al. 1 de cette disposition, prononce la mainlevée provisoire si le débiteur ne rend pas immédiatement vraisemblable sa libération. Le poursuivi peut notamment rendre vraisemblable l'inexistence de la dette en soulevant toutes les exceptions qui peuvent être fondées sur le rapport juridique à la base de la reconnaissance (Daniel Staehelin, Kommentar zum Bundesgesetz über Schuldbetreibung und Konkurs, SchKG I, Bâle 1998, n. 90 ad art. 82 LP et la jurisprudence citée). La simple vraisemblance du moyen libératoire suffit à mettre en échec la requête de mainlevée provisoire; il suffit que, sur la base d'éléments objectifs, le juge de la mainlevée acquière l'impression d'une certaine vraisemblance de l'existence des faits pertinents, sans pour autant qu'il doive exclure la possibilité qu'il puisse en être autrement (Gilliéron, op. cit. , n. 82 ad art. 82 LP , p. 1282 et références citées).</w:t>
      </w:r>
    </w:p>
    <w:p>
      <w:r>
        <w:rPr>
          <w:b/>
        </w:rPr>
        <w:t>E. 3</w:t>
      </w:r>
    </w:p>
    <w:p>
      <w:r>
        <w:t>En conclusion, le recours doit être rejeté, et les frais judiciaires mis à la charge du recourant ( art. 156 al. 1 OJ ). Il n'y a en revanche pas lieu d'allouer des dépens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