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5P.144/2003 vom 5. Mai 2003</w:t>
      </w:r>
    </w:p>
    <w:p>
      <w:r>
        <w:t>Bundesgericht, 2003-05-05, DE</w:t>
      </w:r>
    </w:p>
    <w:p>
      <w:r>
        <w:rPr>
          <w:b/>
        </w:rPr>
        <w:t xml:space="preserve">Quelle: </w:t>
      </w:r>
      <w:r>
        <w:t>https://mcp.opencaselaw.ch/entscheid/bger_5P.144_2003</w:t>
      </w:r>
    </w:p>
    <w:p>
      <w:r>
        <w:t>FR: TF 5P.144/2003 du 5 mai 2003</w:t>
      </w:r>
    </w:p>
    <w:p>
      <w:r>
        <w:t>IT: TF 5P.144/2003 del 5 maggio 2003</w:t>
      </w:r>
    </w:p>
    <w:p>
      <w:pPr>
        <w:pStyle w:val="Heading2"/>
      </w:pPr>
      <w:r>
        <w:t>Regeste</w:t>
      </w:r>
    </w:p>
    <w:p>
      <w:r>
        <w:t>Sachenrecht</w:t>
      </w:r>
    </w:p>
    <w:p>
      <w:pPr>
        <w:pStyle w:val="Heading2"/>
      </w:pPr>
      <w:r>
        <w:t>Erwägungen</w:t>
      </w:r>
    </w:p>
    <w:p>
      <w:r>
        <w:rPr>
          <w:b/>
        </w:rPr>
        <w:t>E. 1</w:t>
      </w:r>
    </w:p>
    <w:p>
      <w:r>
        <w:t>Das Bundesgericht prüft die Zulässigkeit einer staatsrechtlichen Beschwerde von Amtes wegen und mit freier Kognition ( BGE 128 I 46 E. 1a S. 48). Die Verweigerung einer vorläufigen Eintragung im Sinne von Art. 961 Abs. 1 Ziff. 1 ZGB gilt als nicht berufungsfähiger Endentscheid, der mit staatsrechtlicher Beschwerde angefochten werden kann ( BGE 71 II 248 E. 1 S. 250; 102 Ia 81 E. 1 S. 84 zu aArt. 87 OG mit Hinweisen). Gegen die angefochtene Verfügung ist kein kantonales Rechtsmittel gegeben (AGVE 1990 Nr. 17), womit sie letztinstanzlich im Sinne von Art. 86 Abs. 1 OG ist. Auf die Beschwerde ist damit einzutreten.</w:t>
      </w:r>
    </w:p>
    <w:p>
      <w:r>
        <w:rPr>
          <w:b/>
        </w:rPr>
        <w:t>E. 2</w:t>
      </w:r>
    </w:p>
    <w:p>
      <w:r>
        <w:t>Die Beschwerdeführer machen die Verletzung ihres rechtlichen Gehörs gemäss Art. 29 Abs. 2 BV geltend. Gewiss erfordere die Natur der angefochtenen Verfügung eine weniger dichte Begründung als üblich. Indes habe die Gerichtspräsidentin vorliegend auf die Begründung ihrer Verfügung überhaupt verzichtet.</w:t>
      </w:r>
    </w:p>
    <w:p>
      <w:r>
        <w:rPr>
          <w:b/>
        </w:rPr>
        <w:t>E. 2.1</w:t>
      </w:r>
    </w:p>
    <w:p>
      <w:r>
        <w:t>Der Anspruch auf Gewährung des rechtlichen Gehörs ist formeller Natur. Seine Verletzung führt, ungeachtet der Erfolgsaussichten der Beschwerde in der Sache selber, zur Aufhebung des angefochtenen Entscheides ( BGE 127 I 128 E. 4d S. 132). Als persönlichkeitsbezogenes Mitwirkungsrecht verlangt er, dass die Behörde die Vorbringen des vom Entscheid in seiner Rechtsstellung Betroffenen auch tatsächlich hört, sorgfältig prüft und in ihren Überlegungen berücksichtigt. Daraus folgt die grundsätzliche Pflicht der Behörden, ihren Entscheid zu begründen. Der Bürger soll wissen, warum die Behörde seinem Antrag nicht stattgegeben hat. Die Begründung eines Entscheides muss deshalb so abgefasst sein, dass der Betroffene ihn sachgerecht anfechten kann. Dies ist nur möglich, wenn sowohl er wie auch die Rechtsmittelinstanz sich über die Tragweite des Entscheides ein Bild machen können. In diesem Sinne müssen wenigstens kurz die Gesichtspunkte genannt werden, von denen sich die Behörde leiten liess und auf welche sich ihr Entscheid stützt ( BGE 126 I 97 E. 2b S. 102; 125 II 369 E. 2c S. 372). Weil dem in Art. 29 Abs. 2 BV verankerten Gehörsanspruch gegenüber dem kantonalen Verfahrensrecht nur subsidiäre Bedeutung zukommt, dürfen an die Begründung kantonaler Entscheide keine zu hohen Anforderungen gestellt werden, insbesondere dann nicht, wenn das kantonale Recht selbst keine Pflicht zur Begründung vorsieht ( BGE 112 Ia 107 E. 2b S. 109).</w:t>
      </w:r>
    </w:p>
    <w:p>
      <w:r>
        <w:rPr>
          <w:b/>
        </w:rPr>
        <w:t>E. 2.2</w:t>
      </w:r>
    </w:p>
    <w:p>
      <w:r>
        <w:t>Der angefochtenen Verfügung lässt sich nicht entnehmen, was die Gerichtspräsidentin bewogen hat, das Gesuch der Beschwerdeführer einstweilen abzuweisen. Hingegen wird festgehalten, dass das Gesuch der (obsiegenden) Gegenpartei zur Erhebung von Einwendungen innert 10 Tagen zugestellt werde, mit dem Hinweis, dass alsdann gestützt auf § 304 Abs. 2 ZPO /AG die der Präsidentin zutreffend scheinende Verfügung erlassen werde. Dieses Vorgehen entspricht dem kantonalen Verfahrensrecht hinsichtlich superprovisorischer Verfügungen (Bühler/Edelmann/Killer, Kommentar zur aargauischen Zivilprozessordnung, 2. Aufl. 1998, § 294 ff., § 304 Rz. 2 und 3). Ob ein Entscheid wie der vorliegende nach aargauischem Recht zu begründen ist oder nicht, muss nicht abgeklärt werden, da ohnehin die verfassungsmässige Minimalgarantie zum Tragen kommt. Insoweit kann der Behauptung der Beschwerdegegnerin, die Gründe für die Abweisung des Begehrens um Erlass einer superprovisorischen Verfügung seien offensichtlich und bedürfen keiner näheren Begründung, nicht gefolgt werden. Indem die Gerichtspräsidentin auf jede Begründung ihres Entscheides verzichtet hat, verletzt sie das rechtliche Gehör der Beschwerdeführer.</w:t>
      </w:r>
    </w:p>
    <w:p>
      <w:r>
        <w:rPr>
          <w:b/>
        </w:rPr>
        <w:t>E. 3</w:t>
      </w:r>
    </w:p>
    <w:p>
      <w:r>
        <w:t>Bei diesem Ergebnis erübrigt sich die Prüfung der weiteren Rügen, wonach der Erlass einer vorläufigen Massnahme nach § 294 ZPO /AG von der Gerichtspräsidentin in willkürlicher Weise verweigert worden sei.</w:t>
      </w:r>
    </w:p>
    <w:p>
      <w:r>
        <w:rPr>
          <w:b/>
        </w:rPr>
        <w:t>E. 4</w:t>
      </w:r>
    </w:p>
    <w:p>
      <w:r>
        <w:t>Nach dem Dargelegten ist der staatsrechtlichen Beschwerde Erfolg beschieden. Bei diesem Ausgang des Verfahrens wird die Beschwerdegegnerin kosten- und entschädigungspflichtig ( Art. 156 Abs. 1 und Art. 159 Abs. 2 OG ). Das Gesuch der Beschwerdeführer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