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5P.142/2002 vom 31. Juli 2002</w:t>
      </w:r>
    </w:p>
    <w:p>
      <w:r>
        <w:t>Bundesgericht, 2002-07-31, DE</w:t>
      </w:r>
    </w:p>
    <w:p>
      <w:r>
        <w:rPr>
          <w:b/>
        </w:rPr>
        <w:t xml:space="preserve">Quelle: </w:t>
      </w:r>
      <w:r>
        <w:t>https://mcp.opencaselaw.ch/entscheid/bger_5P.142_2002</w:t>
      </w:r>
    </w:p>
    <w:p>
      <w:r>
        <w:t>FR: TF 5P.142/2002 du 31 juillet 2002</w:t>
      </w:r>
    </w:p>
    <w:p>
      <w:r>
        <w:t>IT: TF 5P.142/2002 del 31 luglio 2002</w:t>
      </w:r>
    </w:p>
    <w:p>
      <w:pPr>
        <w:pStyle w:val="Heading2"/>
      </w:pPr>
      <w:r>
        <w:t>Erwägungen</w:t>
      </w:r>
    </w:p>
    <w:p>
      <w:r>
        <w:rPr>
          <w:b/>
        </w:rPr>
        <w:t>E. 1</w:t>
      </w:r>
    </w:p>
    <w:p>
      <w:r>
        <w:t>Die Entscheidung über die Berufung wird in der Regel bis zur Erledigung der staatsrechtlichen Beschwerde ausgesetzt; eine Ausnahme ( BGE 122 I 81 E. 1 S. 82) von dieser Regel rechtfertigt sich nicht ( Art. 57 Abs. 5 OG ). Die Frage, ob der Ausgang des Vertragsanfechtungsprozesses unter den Geschwistern für das Persönlichkeitsschutzverfahren präjudiziell sein könnte, muss vor dem Entscheid in der Sache beantwortet werden. Das Kantonsgericht hat den entsprechenden Sistierungsantrag gestützt auf Art. 5 ZPO abgewiesen und dabei Bundesrecht als kantonales Ersatzrecht angewendet. Dessen Verletzung kann mit Berufung nicht gerügt werden ( Art. 43 OG ; BGE 128 III 76 E. 1a S. 80).</w:t>
      </w:r>
    </w:p>
    <w:p>
      <w:r>
        <w:t>Die Begründungen von Beschwerde- und Berufungsschrift stimmen praktisch wörtlich überein; nebst der verschiedenen Bezeichnung der Rechtsmittel unterscheiden sie sich lediglich dadurch, dass die Berufungsschrift vier zusätzliche Absätze an rechtlichen Ausführungen zu Art. 28 Abs. 2 ZGB enthält, im Übrigen aber ebenfalls die Verfassungsrügen verzeichnet, die in der staatsrechtlichen Beschwerde erhoben werden, in der umgekehrt auch die Verletzung von Art. 28 Abs. 2 ZGB geltend gemacht wird. Inhaltlich übereinstimmende Rechtsmitteleingaben vor Bundesgericht sind nicht unstatthaft, soweit die Vorbringen im Rahmen des entsprechenden Rechtsmittels zulässig sind und den jeweiligen Begründungsanforderungen genügen ( BGE 116 II 745 E. 2 S. 748; 118 IV 293 E. 2a S. 295). Nicht eingetreten werden kann hier auf die Rüge, die Art. 28 ff. ZGB seien willkürlich ( Art. 9 BV ) bzw. rechtsungleich ( Art. 8 und Art. 29 Abs. 1 BV ) angewendet worden. Damit werden keine eigentlichen Verfassungsverletzungen geltend gemacht. Vielmehr wird eine unrichtige oder mangelhafte Anwendung von Bundesprivatrecht beanstandet, die mit Berufung vorzutragen ist ( Art. 84 Abs. 2 OG ; Urteil des Bundesgerichts 5P.263/2000 vom 20. Juli 2001, E. 2b).</w:t>
      </w:r>
    </w:p>
    <w:p>
      <w:r>
        <w:t>Die Abweisung des Sistierungsantrags ist als prozessleitende Verfügung ein Zwischenentscheid (Urteil des Bundesgerichts P.1830/1986 vom 12. Januar 1987, E. 1a), der hier mangels selbstständiger Eröffnung nur mit dem kantonal letztinstanzlichen Sachurteil angefochten werden kann ( Art. 87 OG ). Durch das kantonsgerichtliche Urteil in der Sache selbst ist das rechtliche Interesse an der Beschwerde gegen die verweigerte Sistierung nicht entfallen, könnte doch die geltend gemachte verfassungswidrige Beurteilung des Sistierungsantrags unmittelbare Auswirkungen auf das Sachurteil haben, was dessen Tatsachengrundlage anbetrifft ( Art. 88 OG ). Unzulässig sind die Anträge des Beschwerdeführers, die über die blosse Aufhebung des kantonsgerichtlichen Urteils hinausgehen ( BGE 124 I 327 E. 4 S. 332 mit Hinweisen auf hier nicht zutreffende Ausnahmen). Auf die staatsrechtliche Beschwerde kann mit den erwähnten Vorbehalten eingetreten werden.</w:t>
      </w:r>
    </w:p>
    <w:p>
      <w:r>
        <w:rPr>
          <w:b/>
        </w:rPr>
        <w:t>E. 2</w:t>
      </w:r>
    </w:p>
    <w:p>
      <w:r>
        <w:t>An der Stiftungsratssitzung hatte der Beschwerdeführer dem Beschwerdegegner vorgeworfen, seine Schwester im Zusammenhang mit der Abrechnung des ihr zustehenden Gewinnanteils aus einem Hausverkauf unkorrekt behandelt zu haben, gleichzeitig aber darauf hingewiesen, dass die Verteilung des Nettoerlöses aus jenem Hausverkauf noch offen sei (vgl. den Protokollauszug auf S. 2 und 5 des angefochtenen Urteils). Um die Rechtmässigkeit seines Vorwurfes belegen zu können, verlangte der Beschwerdeführer die Sistierung des Persönlichkeitsschutzverfahrens bis zur Erledigung des hängigen Vertragsanfechtungsprozesses über das Gewinnanteilsrecht. Das Kantonsgericht hat das Sistierungsbegehren abgewiesen (E. 2 S. 9 ff.).</w:t>
      </w:r>
    </w:p>
    <w:p>
      <w:r>
        <w:t>Da der Beschwerdeführer an der Stiftungsratssitzung ausdrücklich erwähnt hat, die Verteilung des Nettoerlöses aus dem Hausverkauf sei noch offen, erscheint sein Vorwurf, der Beschwerdegegner habe seine Schwester bei der Abrechnung jenes Nettoerlöses und des ihr zustehenden hälftigen Gewinnanteils benachteiligt, als blosser Verdacht. Der Beschwerdeführer hat deutlich zum Ausdruck gebracht, dass nicht sicher oder zumindest (noch) nicht bewiesen ist, ob der Beschwerdegegner das ihm unterstellte Verhalten tatsächlich zu verantworten hat oder nicht. Steht die Rechtmässigkeit einer solchen persönlichkeitsverletzenden Verdächtigung in Frage, muss auf die Tatsachengrundlage im Zeitpunkt ihrer Äusserung abgestellt werden; dass sie sich im Nachhinein als falsch erweist, ist nicht entscheidend, liefe das doch auf eine unzulässige Beurteilung "ex post" hinaus (vgl. zum Grundsatz aus dem Bereich der Presseberichterstattung: Urteil des Bundesgerichts 5C.249/1992 vom 17. Mai 1994, E. 4a Abs. 3; seither: Barrelet, Droit de la communication, Bern 1998, N. 1310 und N. 1317 S. 380 f.; Geiser, Persönlichkeitsschutz: Pressezensur oder Schutz vor Medienmacht?, SJZ 92/1996 S. 73 ff., S. 77 Ziffer 2.12.).</w:t>
      </w:r>
    </w:p>
    <w:p>
      <w:r>
        <w:t>Für die Rechtmässigkeit des vom Beschwerdeführer geäusserten Verdachts, der Beschwerdegegner habe seine Schwester bei der Gewinnanteilsabrechnung benachteiligt, kann es auf Grund der gezeigten Rechtsprechung und Lehre auf das Ergebnis des Vertragsanfechtungsprozesses nicht ankommen; die Rechtmässigkeit muss vielmehr nach dem Kenntnisstand im Zeitpunkt der Äusserung des Verdachts beurteilt werden. Unter diesem Blickwinkel erscheint es von vornherein nicht als willkürlich, dass das Kantonsgericht die Sistierung des Persönlichkeitsschutzverfahrens verweigert hat ( Art. 9 BV ; vgl. zum Willkürbegriff: BGE 127 I 60 E. 5a S. 70). Es erübrigt sich damit, auf die kantonsgerichtliche Begründung für die Abweisung des Sistierungsbegehrens einzugehen (vgl. zur Motivsubstitution: BGE 128 III 4 E. 4c/aa S. 7).</w:t>
      </w:r>
    </w:p>
    <w:p>
      <w:r>
        <w:rPr>
          <w:b/>
        </w:rPr>
        <w:t>E. 3</w:t>
      </w:r>
    </w:p>
    <w:p>
      <w:r>
        <w:t>Mit Rücksicht auf die soeben dargelegten Rechtsgrundsätze muss auch der Antrag, das Verfahren der staatsrechtlichen Beschwerde bis zur rechtskräftigen Erledigung des Vertragsanfechtungsprozesses zu sistieren, abgewiesen werden. Da die gleichzeitige Erhebung der - im Grundsatz zulässigen - Berufung den Eintritt der Rechtskraft des angefochtenen Urteils gehemmt hat ( Art. 54 Abs. 2 OG ), erweist sich das Gesuch des Beschwerdeführers um aufschiebende Wirkung als gegenstandslos. Bei diesem Ausgang des Verfahrens wird der Beschwerdeführer kostenpflichtig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