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5P.138/2006 vom 1. Mai 2006</w:t>
      </w:r>
    </w:p>
    <w:p>
      <w:r>
        <w:t>Bundesgericht, 2006-05-01, FR</w:t>
      </w:r>
    </w:p>
    <w:p>
      <w:r>
        <w:rPr>
          <w:b/>
        </w:rPr>
        <w:t xml:space="preserve">Quelle: </w:t>
      </w:r>
      <w:r>
        <w:t>https://mcp.opencaselaw.ch/entscheid/bger_5P.138_2006</w:t>
      </w:r>
    </w:p>
    <w:p>
      <w:r>
        <w:t>FR: TF 5P.138/2006 du 1 mai 2006</w:t>
      </w:r>
    </w:p>
    <w:p>
      <w:r>
        <w:t>IT: TF 5P.138/2006 del 1 maggio 2006</w:t>
      </w:r>
    </w:p>
    <w:p>
      <w:pPr>
        <w:pStyle w:val="Heading2"/>
      </w:pPr>
      <w:r>
        <w:t>Regeste</w:t>
      </w:r>
    </w:p>
    <w:p>
      <w:r>
        <w:t>art. 9 Cst. (mainlevée d'opposition) | Droit des poursuites et faillites</w:t>
      </w:r>
    </w:p>
    <w:p>
      <w:pPr>
        <w:pStyle w:val="Heading2"/>
      </w:pPr>
      <w:r>
        <w:t>Erwägungen</w:t>
      </w:r>
    </w:p>
    <w:p>
      <w:r>
        <w:rPr>
          <w:b/>
        </w:rPr>
        <w:t>E. 1</w:t>
      </w:r>
    </w:p>
    <w:p>
      <w:r>
        <w:t>Le Tribunal fédéral examine d'office et librement la recevabilité des recours qui lui sont soumis ( ATF 131 I 153 consid. 1 p. 156; 131 II 352 consid. 1 p. 353 et les arrêts cités).</w:t>
      </w:r>
    </w:p>
    <w:p>
      <w:r>
        <w:rPr>
          <w:b/>
        </w:rPr>
        <w:t>E. 1.1</w:t>
      </w:r>
    </w:p>
    <w:p>
      <w:r>
        <w:t>Les décisions rendues en matière de mainlevée de l'opposition ne tranchent pas une contestation civile au sens des art. 44 et 46 OJ , de sorte qu'elles ne sont pas susceptibles de recours en réforme ( ATF 93 II 436 consid. 2 p. 436/437). Les griefs invoqués ne pouvant pas être soumis par un autre moyen de droit au Tribunal fédéral, la condition de subsidiarité du recours de droit public est remplie ( art. 84 al. 2 OJ ; ATF 120 Ia 256 consid. 1a p. 257). Déposé à temps contre une décision prise en dernière instance cantonale, le recours est également ouvert au regard des art. 86 al. 1 et 89 al. 1 OJ.</w:t>
      </w:r>
    </w:p>
    <w:p>
      <w:r>
        <w:rPr>
          <w:b/>
        </w:rPr>
        <w:t>E. 1.2</w:t>
      </w:r>
    </w:p>
    <w:p>
      <w:r>
        <w:t>Le recourant est une collectivité publique qui procède en qualité de cessionnaire de contributions d'entretien dues aux enfants ( art. 289 al. 2 CC ; ATF 123 III 161 consid. 4b p. 163 et les citations). Malgré la cession (légale), ces prétentions demeurent fondées sur le droit privé ( ATF 106 II 287 consid. 2a p. 290; Hegnauer, Berner Kommentar, n. 77 ad art. 289 CC ). Dans ses rapports avec le débirentier, la collectivité publique n'agit pas en tant que détentrice de la puissance publique, mais comme un simple créancier, sans aucun pouvoir décisionnel. En conséquence, le recourant a bien qualité pour recourir sous l'angle de l' art. 88 OJ (arrêt 5P.193/2003 du 23 juillet 2003, consid. 1.1.2, publié in: FamPra.ch 2003 p. 971 ss, 973).</w:t>
      </w:r>
    </w:p>
    <w:p>
      <w:r>
        <w:rPr>
          <w:b/>
        </w:rPr>
        <w:t>E. 1.3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p. 31, 258 consid. 1.3 p. 261/262). Le principe jura novit curia est inapplicable ( ATF 125 I 71 consid. 1c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rPr>
          <w:b/>
        </w:rPr>
        <w:t>E. 2</w:t>
      </w:r>
    </w:p>
    <w:p>
      <w:r>
        <w:t>Pour fixer le montant à concurrence duquel elle a accordé la mainlevée de l'opposition, la cour cantonale s'est basée sur le courrier de l'office de recouvrement du 13 juin 2005 et a considéré que l'État poursuivant n'était donc créancier que de la somme de 1'600 fr. Par ce courrier adressé au mandataire du débiteur, l'office de recouvrement se déclarait surpris de l'invocation de la compensation par le débiteur, le "trop" versé l'ayant été à bien plaire. Il précisait en outre: "Toutefois, par gain de paix, Mme Y.________ est prête à renoncer à son arriéré. En conséquence, seul un montant de 1'600 fr. reste dû par M. X.________ à l'État de Neuchâtel". Il invitait donc le débiteur à s'acquitter de ce montant au moyen des bulletins de versement annexés. Invoquant la violation de l' art. 9 Cst. , le recourant reproche à la cour cantonale de n'avoir pas tenu compte du fait qu'il était subrogé à la cédante dans l'intégralité de ses droits pécuniaires relatifs aux pensions alimentaires, que celle-ci lui a cédé tous ses droits par la procuration-cession et qu'il est donc devenu créancier de l'intégralité des montants réclamés. C'est d'ailleurs comme créancier qu'il a requis la poursuite du débiteur. Il relève que la cession signée lui cède des droits plus étendus que ceux prévus par l' art. 289 al. 2 CC puisqu'il concerne tous les droits, à concurrence des contributions échues et futures. En outre, le débiteur a été valablement informé de cette cession. Par là, le recourant ne s'en prend pas à la motivation de la cour cantonale. Il ne démontre pas en quoi celle-ci serait tombée dans l'arbitraire en retenant que, sur le vu de sa lettre du 13 juin 2005, le recourant avait renoncé à l'arriéré et que seul restait dû le montant de 1'600 fr. Sa critique purement appellatoire est irrecevable (cf. consid. 1.3 ci-dessus).</w:t>
      </w:r>
    </w:p>
    <w:p>
      <w:r>
        <w:rPr>
          <w:b/>
        </w:rPr>
        <w:t>E. 3</w:t>
      </w:r>
    </w:p>
    <w:p>
      <w:r>
        <w:t>Le présent recours étant irrecevable, les frais de la procédure doivent être mis à la charge du recourant ( art. 156 al. 1 OJ ). Il n'y a pas lieu d'allouer de dépens à l'intimé qui n'a pas été invité à répondre.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