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5P.135/2004 vom 17. November 2003</w:t>
      </w:r>
    </w:p>
    <w:p>
      <w:r>
        <w:t>Bundesgericht, 2003-11-17, FR</w:t>
      </w:r>
    </w:p>
    <w:p>
      <w:r>
        <w:rPr>
          <w:b/>
        </w:rPr>
        <w:t xml:space="preserve">Quelle: </w:t>
      </w:r>
      <w:r>
        <w:t>https://mcp.opencaselaw.ch/entscheid/bger_5P.135_2004</w:t>
      </w:r>
    </w:p>
    <w:p>
      <w:r>
        <w:t>FR: TF 5P.135/2004 du 17 novembre 2003</w:t>
      </w:r>
    </w:p>
    <w:p>
      <w:r>
        <w:t>IT: TF 5P.135/2004 del 17 novembre 2003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Président du Tribunal cantonal a considéré que, vu les motifs exposés à l'appui de la décision rejetant la demande de récusation, le procédé du recourant était dénué de chances de succès, en sorte que l'assistance judiciaire ne pouvait lui être accordée.</w:t>
      </w:r>
    </w:p>
    <w:p>
      <w:r>
        <w:rPr>
          <w:b/>
        </w:rPr>
        <w:t>E. 1.2</w:t>
      </w:r>
    </w:p>
    <w:p>
      <w:r>
        <w:t>Par arrêt de ce jour, rendu dans la cause connexe 5P.142/2004, la cour de céans a déclaré que le juge saisi de l'action en constatation ou en contestation de retour à meilleure fortune ( art. 265a al. 4 LP ), qui a déjà statué sur la recevabilité de l'opposition ( art. 265a al. 1 LP ), est prévenu; l'union personnelle du juge de la recevabilité de l'opposition et du juge de l'action en constatation contrevient, dès lors, aux art. 30 al. 1 Cst. et 6 § 1 CEDH . Il s'ensuit que la demande de récusation ne pouvait être tenue pour vouée à l'échec; fondé sur cet unique motif, le refus de l'assistance judiciaire viole ainsi l' art. 29 al. 3 Cst.</w:t>
      </w:r>
    </w:p>
    <w:p>
      <w:r>
        <w:rPr>
          <w:b/>
        </w:rPr>
        <w:t>E. 2</w:t>
      </w:r>
    </w:p>
    <w:p>
      <w:r>
        <w:t>Vu ce qui précède, le recours doit être admis et la décision attaquée annulée. Les dépens sont supportés par le canton du Valais ( art. 159 al. 2 OJ ; ATF 125 I 389 consid. 5 p. 393), à l'exception des frais de justice ( art. 156 al. 2 OJ ). Cela étant, la requête d'assistance judiciaire du recourant est devenue sans objet ( ATF 109 Ia 5 consid. 5 p. 11).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