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5P.122/2004 vom 29. Juni 2004</w:t>
      </w:r>
    </w:p>
    <w:p>
      <w:r>
        <w:t>Bundesgericht, 2004-06-29, DE</w:t>
      </w:r>
    </w:p>
    <w:p>
      <w:r>
        <w:rPr>
          <w:b/>
        </w:rPr>
        <w:t xml:space="preserve">Quelle: </w:t>
      </w:r>
      <w:r>
        <w:t>https://mcp.opencaselaw.ch/entscheid/bger_5P.122_2004</w:t>
      </w:r>
    </w:p>
    <w:p>
      <w:r>
        <w:t>FR: TF 5P.122/2004 du 29 juin 2004</w:t>
      </w:r>
    </w:p>
    <w:p>
      <w:r>
        <w:t>IT: TF 5P.122/2004 del 29 giugno 2004</w:t>
      </w:r>
    </w:p>
    <w:p>
      <w:pPr>
        <w:pStyle w:val="Heading2"/>
      </w:pPr>
      <w:r>
        <w:t>Regeste</w:t>
      </w:r>
    </w:p>
    <w:p>
      <w:r>
        <w:t>Sachenrecht</w:t>
      </w:r>
    </w:p>
    <w:p>
      <w:pPr>
        <w:pStyle w:val="Heading2"/>
      </w:pPr>
      <w:r>
        <w:t>Erwägungen</w:t>
      </w:r>
    </w:p>
    <w:p>
      <w:r>
        <w:rPr>
          <w:b/>
        </w:rPr>
        <w:t>E. 1</w:t>
      </w:r>
    </w:p>
    <w:p>
      <w:r>
        <w:t>Das Bundesgericht prüft von Amtes wegen und mit freier Kognition, ob und in welchem Umfang auf eine staatsrechtliche Beschwerde einzutreten ist ( BGE 127 III 41 E. 2a S. 42 ; 129 I 302 E. 1 S. 305).</w:t>
      </w:r>
    </w:p>
    <w:p>
      <w:r>
        <w:rPr>
          <w:b/>
        </w:rPr>
        <w:t>E. 1.1</w:t>
      </w:r>
    </w:p>
    <w:p>
      <w:r>
        <w:t>Bei der angefochtenen Verfügung handelt es sich um einen kantonal letztinstanzlichen Entscheid betreffend Besitzesschutz. Gegen einen solchen Entscheid kann staatsrechtliche Beschwerde wegen Verletzung verfassungsmässiger Rechte geführt werden, weil der Besitzesschutz ausschliesslich der Wiederherstellung oder der Wahrung des bisherigen faktischen Zustandes dient, ohne dass ein Urteil darüber ergeht, ob diese tatsächliche Situation dem Recht entspricht. Die Gutheissung eines entsprechenden Antrages gewährt dem Gesuchsteller lediglich einen provisorischen Schutz. Deshalb ist der diesbezügliche Entscheid kein Endentscheid im Sinne von Art. 48 OG ( BGE 113 II 243 E. 1b S. 244 f.; Felix Schöbi, Der Besitzesschutz, Diss. Bern 1987, S. 104). Die vorliegende Beschwerde erweist sich in dieser Hinsicht als zulässig.</w:t>
      </w:r>
    </w:p>
    <w:p>
      <w:r>
        <w:rPr>
          <w:b/>
        </w:rPr>
        <w:t>E. 1.2</w:t>
      </w:r>
    </w:p>
    <w:p>
      <w:r>
        <w:t>Die staatsrechtliche Beschwerde ist grundsätzlich rein kassatorischer Natur ( BGE 120 Ia 256 E. 1b S. 257 ; 125 I 104 E. 1b S. 107). Es kann regelmässig nur die Aufhebung des angefochtenen Entscheids beantragt werden. Soweit die Beschwerdeführer mehr, insbesondere den Erlass eines Amtsbefehls verlangen, ist auf die Beschwerde nicht einzutreten.</w:t>
      </w:r>
    </w:p>
    <w:p>
      <w:r>
        <w:rPr>
          <w:b/>
        </w:rPr>
        <w:t>E. 2</w:t>
      </w:r>
    </w:p>
    <w:p>
      <w:r>
        <w:t>Die Beschwerdeführer stützen ihr Begehren auf Art. 928 Abs. 1 ZGB . Nach dieser Bestimmung kann der Besitzer gegen denjenigen Klage erheben, welcher den Besitz durch verbotene Eigenmacht stört, auch wenn dieser ein Recht zu haben behauptet. Im Rahmen einer Besitzesschutzklage wird nur über die Wiederherstellung oder Erhaltung des Zustandes der tatsächlichen Gewalt über die Sache, nicht aber über die Rechtmässigkeit dieses Zustandes bzw. über das Recht an der Sache entschieden ( BGE 113 II 243 E. 1b S. 244; Urteil des Bundesgerichts 5P.220/2000 vom 6. September 2001, E. 2b).</w:t>
      </w:r>
    </w:p>
    <w:p>
      <w:r>
        <w:rPr>
          <w:b/>
        </w:rPr>
        <w:t>E. 2.1</w:t>
      </w:r>
    </w:p>
    <w:p>
      <w:r>
        <w:t>Im vorliegenden Fall handelt es sich um einen Streit zwischen den Vermietern und ihrer Mieterin, wobei die Vermieter geltend machen, den Mietvertrag gültig gekündigt zu haben. Gemäss herrschender Lehre sind indes die Besitzesschutzbestimmungen gerade auf das Verhältnis zwischen selbstständigem und unselbstständigem Besitzer nur beschränkt anwendbar (Emil W. Stark, Berner Kommentar, N. 56 ff. der Vorbem. zu Art. 926-929 ZGB ; A. Homberger, Zürcher Kommentar, N. 20 zu Art. 926 ZGB ; Hans Hinderling, Schweizerisches Privatrecht, Bd. V/1, 1977, S. 451 f.; Ruedi Portmann, Der Besitzesschutz des schweizerischen Zivilgesetzbuchs, Diss. Zürich 1996, S. 48). Insbesondere liegt nach der Lehre keine Besitzesstörung vor, wenn der Mieter nach Ablauf oder Auflösung des Vertrages die Sache nicht zurückgibt, da in diesem Fall in erster Linie die (materielle) Rechtsfrage zu entscheiden ist, ob eine Vertragsverletzung vorliegt (Emil W. Stark, a.a.O., N. 35 zu Art. 928 ZGB ; A. Homberger, a.a.O., N. 11 zu Art. 928 ZGB ; Ruedi Portmann, a.a.O., S. 111 f.).</w:t>
      </w:r>
    </w:p>
    <w:p>
      <w:r>
        <w:rPr>
          <w:b/>
        </w:rPr>
        <w:t>E. 2.2</w:t>
      </w:r>
    </w:p>
    <w:p>
      <w:r>
        <w:t>Die aufgeworfenen Fragen betreffend Vermietungspflicht trotz Zahlungsverzug und Gültigkeit der Kündigung betreffen in erster Linie die (materielle) Rechtsbeziehung zwischen den Parteien und sind damit nicht im vorliegenden Besitzesschutzverfahren zu entscheiden. Ausführungen zu den diesbezüglichen Erwägungen des Kantonsgerichts und den Rügen der Beschwerdeführer erübrigen sich daher. Im Ergebnis erweist sich die angefochtene Verfügung gestützt auf die oben ausgeführten Grundsätze (E. 2.1) als haltbar, da es im vorliegenden Fall zumindest nicht willkürlich erscheint, den Beschwerdeführern als selbstständige Besitzer den Schutz aus Besitzesrecht gegenüber der Beschwerdegegnerin als unselbstständige Besitzerin zu verweigern.</w:t>
      </w:r>
    </w:p>
    <w:p>
      <w:r>
        <w:rPr>
          <w:b/>
        </w:rPr>
        <w:t>E. 2.3</w:t>
      </w:r>
    </w:p>
    <w:p>
      <w:r>
        <w:t>Offensichtlich unzutreffend ist im Übrigen die Behauptung der Beschwerdeführer, indem sie die Schlösser ihrer Appartements ausgewechselt hätten, sei bereits die Exmission der Beschwerdegegnerin erfolgt. Die Ausweisung eines Mieters - namentlich wenn sich dieser in Zahlungsrückstand befindet - kann nur im einem gerichtlichen Verfahren durchgeführt werden (SVIT-Kommentar Mietrecht, 1998, N. 2 zu Art. 274g OR ).</w:t>
      </w:r>
    </w:p>
    <w:p>
      <w:r>
        <w:rPr>
          <w:b/>
        </w:rPr>
        <w:t>E. 3</w:t>
      </w:r>
    </w:p>
    <w:p>
      <w:r>
        <w:t>Damit ist die staatsrechtliche Beschwerde abzuweisen, soweit darauf eingetreten werden kann. Bei diesem Ausgang des Verfahrens werden die Beschwerdeführer kostenpflichtig ( Art. 156 Abs. 1 OG ). Sie schulden der Beschwerdegegnerin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