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5P.119/2000 vom 24. Juli 2000</w:t>
      </w:r>
    </w:p>
    <w:p>
      <w:r>
        <w:t>Bundesgericht, 2000-07-24, DE</w:t>
      </w:r>
    </w:p>
    <w:p>
      <w:r>
        <w:rPr>
          <w:b/>
        </w:rPr>
        <w:t xml:space="preserve">Quelle: </w:t>
      </w:r>
      <w:r>
        <w:t>https://mcp.opencaselaw.ch/entscheid/bger_5P.119_2000</w:t>
      </w:r>
    </w:p>
    <w:p>
      <w:r>
        <w:t>FR: TF 5P.119/2000 du 24 juillet 2000</w:t>
      </w:r>
    </w:p>
    <w:p>
      <w:r>
        <w:t>IT: TF 5P.119/2000 del 24 luglio 2000</w:t>
      </w:r>
    </w:p>
    <w:p>
      <w:pPr>
        <w:pStyle w:val="Heading2"/>
      </w:pPr>
      <w:r>
        <w:t>Regeste</w:t>
      </w:r>
    </w:p>
    <w:p>
      <w:r>
        <w:t>Staatshaftung</w:t>
      </w:r>
    </w:p>
    <w:p>
      <w:pPr>
        <w:pStyle w:val="Heading2"/>
      </w:pPr>
      <w:r>
        <w:t>Erwägungen</w:t>
      </w:r>
    </w:p>
    <w:p>
      <w:r>
        <w:rPr>
          <w:b/>
        </w:rPr>
        <w:t>E. 1</w:t>
      </w:r>
    </w:p>
    <w:p>
      <w:r>
        <w:t>OR). b) Im seit dem 1. Januar 1997 geltenden Art. 5 Abs. 1 und 2 SchKG wird primär und gegenüber dem Geschädigten exklusiv der Kanton für widerrechtliche Schadenszufügung sei- ner Beamten und Angestellten haftpflichtig erklärt. Dieser haftpflichtrechtliche Systemwechsel wird damit begründet, dass der Gesetzgeber einer allgemeinen Tendenz folgend die persönliche Haftung der Beamten durch eine Verantwortlichkeit des Gemeinwesens ablösen wollte ( BGE 121 III 204 E. 2a S. 208; Gilliéron, a.a.O. N 8 f., 11 f. und 14 zu Art. 5 SchKG; s. zuletzt Art. 46 Abs. 2 ZGB und zuvor schon Art. 429 aAbs. 2 ZGB). Bei Art. 5 Abs. 1 SchKG handelt es sich um eine ausschliesslich auf Bundesrecht beruhende Kausalhaftung (Gilliéron, a.a.O. N 14, 17 und 38 zu Art. 5 SchKG ; D. Gas- ser, in: Kommentar zum Bundesgesetz über Schuldbetreibung und Konkurs, Bd. I: Art. 1 - 87 SchKG , N 2 f. und 8 bis 10 zu Art. 5 SchKG ), wobei den Kantonen freigestellt ist, ob sie den Verwaltungsweg oder den Gerichtsweg vorsehen und ob sie eine oder zwei Instanzen zur Verfügung stellen wollen; das Verfahren regeln die Kantone (Gilliéron, a.a.O. N 17 f. zu Art. 7 SchKG ; Amonn/Gasser, Grundriss des Schuldbetreibungs- und Konkursrechts, 6. Aufl. 1997, § 5 Rz 6 und 19 S. 32 und 34; Gasser, a.a.O. N 54, 58 f. und 61 zu Art. 5 SchKG ).</w:t>
      </w:r>
    </w:p>
    <w:p>
      <w:r>
        <w:rPr>
          <w:b/>
        </w:rPr>
        <w:t>E. 2</w:t>
      </w:r>
    </w:p>
    <w:p>
      <w:r>
        <w:t>Hier ergeben sich übergangsrechtliche Probleme aus den Umständen, dass die Zwangsverwaltung am 1. April 1996, mithin vor Inkrafttreten des revidierten Art. 5 SchKG , be- gonnen hatte und am 31. August 1997 endete. Mangels ein- schlägiger Normen (vgl. Art. 2 der Schlussbestimmungen zur Änderung des SchKG vom 16. Dezember 1994) muss auf allgemeine Regeln abgestellt werden, wobei zu unterscheiden ist, ob sich geltendes Recht in materieller und/oder in verfahrensrecht- licher Hinsicht geändert hat. Insoweit folgt die Anwendbar- keit neuen Rechts unterschiedlichen übergangsrechtlichen Regeln (Kölz/Häner, Verwaltungsverfahren und Verwaltungs- rechtspflege des Bundes, 2. Aufl. 1998, Rz 78 S. 29; F. Gygi, Verwaltungsrecht, S. 112 f.; A. Kölz, Intertemporales Verwal- tungsrecht, ZSR 102/1983 II S. 206 ff. und 222 f.). a) Intertemporalen Regeln für materielles Recht un- tersteht hier zweifellos die Frage, ob das seit dem 1. Januar 1997 vorliegendenfalls nicht mehr anwendbare kantonale Recht über die Verantwortlichkeit des Beschwerdegegners (E. 1a hier- vor) oder das neue Recht (E. 1b hiervor) zur Anwendung ge- langt. Die Rechtmässigkeit eines Verwaltungsaktes bestimmt sich in materiellrechtlicher Hinsicht nach Massgabe des zur Zeit seines Erlasses geltenden Rechts ( BGE 125 II 591 E. 4e/aa S. 598; 122 V 28 E. 1; 120 Ib 317 E. 2b). Hat das Recht vor Erlass des (erstinstanzlichen) Verwaltungsaktes und vor Abschluss des die strittigen Rechtsfolgen auslösenden Sachverhalts geändert, gilt in analoger Anwendung von Art. 1 SchlTZGB regelmässig der Grundsatz der Nichtrückwirkung neuen Rechts; jedoch wird auch dieses sofort angewendet (vgl. Art. 2 Abs. 1 und 2 SchlTZGB), wenn es öffentliche Interessen gebieten ( BGE 123 II 359 E. 3 mit Hinw.; 112 Ib 39 E. 1c). Auf Dauersachverhalte, die vor dem Inkrafttreten des neuen Rechts begonnen hatten und nachher abgeschlossen wurden oder noch andauern, wird neues Recht angewendet, es sei denn, das Übergangsrecht sehe eine andere Regel vor ( BGE 124 III 266 E. 3e S. 271 f.; 123 V 133 E. 2b; 122 V 6 E. 3a, 405 E. 3b/aa; 119 II 46 E. 1; Kölz, a.a.O. S. 160 ff.). Daher untersteht der eine Einheit bildende Sachverhalt, während dessen Verlauf materielles Recht geändert wird, dem neuen Recht (BGE 123 V 28 E. 3a; 121 V 97 E. 1a). Entgegen der Ansicht des Verwaltungsgerichts, das sich mit dem in E. 1b geschilderten Systemwechsel nicht aus- einander setzt, ist vorliegend neues Schuldbetreibungs- und Konkursrecht ( Art. 5 Abs. 1 SchKG ) anzuwenden, weil die Haf- tungsordnung des kantonalen Rechts am 1. Januar 1997, mithin während der staatlichen Zwangsverwaltung, vom revidierten SchKG abgelöst wurde und das Verwaltungsgericht (als einzige kantonale Instanz) erst am 18. Februar 2000 entschieden hat, als das neue Recht schon längst galt. Bei diesem Ergebnis kann offen bleiben, ob öffentliche Interessen eine sofortige Anwendung des neuen Rechts erforderlich machen. Der ohnehin allein anwendbare Art. 5 SchKG verdrängt kantonales Verant- wortlichkeitsrecht ( Art. 49 Abs. 1 BV ; vgl. BBl. 1997 I S. 215 f. zu EArt. 40; vgl. zu Art. 2 aUebBestBV BGE 125 II 56 E. 2b ; 124 I 107 E. 2a ; 123 I 313 E. 2b). b) Die intertemporalrechtlichen Regeln zum Verfah- rensrecht gebieten, geändertes Prozessrecht in analoger An- wendung von Art. 2 SchlTZGB sofort anzuwenden, sofern ein- schlägige Übergangsbestimmungen nicht etwas anderes vorsehen und die Kontinuität des bisherigen (materiellen) Rechts da- durch nicht gefährdet wird (Kölz/Häner, a.a.O. Rz 79 S. 29; so auch zum Zivilprozessrecht BGE 122 III 324 E. 7, 119 II 46 E. 1b S. 49 f., 118 II 508 E. 2, 115 II 97 E. 2c S. 101 f.; O. Vogel, Grundriss des Zivilprozessrechts, 6. Aufl. 1999, Kap. 1 Rz 93 f. S. 54 f. und Th. Sutter-Somm, Zur intertempo- ralen Anwendung der neuen prozessualen Vorschriften über die aktienrechtliche Verantwortlichkeit [ Art. 756 Abs. 2 OR ], SJZ 94/1998 S. 380 f.). Die Frage, mit welchem Rechtsmittel das Bundesgericht angerufen werden kann, richtet sich nach dem zur Zeit des angefochtenen Entscheids geltenden Recht ( BGE 125 II 591 E. 4e/aa S. 598 mit Hinweisen). Das ergibt sich sinngemäss aus Art. III Abs. 2 der Schlussbestimmungen zur Änderung des OG vom 20. Dezember 1968 und aus Art. 3 Abs. 1 der Schlussbestimmungen zur Änderung des OG vom</w:t>
      </w:r>
    </w:p>
    <w:p>
      <w:r>
        <w:rPr>
          <w:b/>
        </w:rPr>
        <w:t>E. 4</w:t>
      </w:r>
    </w:p>
    <w:p>
      <w:r>
        <w:t>Weil im vorliegenden Verfahren der Sachverhalt von einem Gericht ermittelt worden ist, kann das Bundesgericht diesen nur im beschränkten Rahmen von Art. 104 lit. b und Art. 105 Abs. 2 OG überprüfen. Es schreitet z. B. ein, wenn der Sachverhalt unvollständig, offensichtlich falsch oder unter Verletzung von wesentlichen Verfahrensbestimmungen ermittelt worden ist; die Sachverhaltsermittlung muss sich als qualifiziert unkorrekt erweisen ( BGE 124 II 361 E. 2a; 123 II 295 E. 3; 121 II 59 E. 2d S. 63; 119 Ib 166 E. 2a/bb S. 170). Diese Überprüfungsmöglichkeit kann insoweit ungefähr mit der Willkürkognition verglichen werden (P. Karlen, Ver- waltungsgerichtsbeschwerde, in: Handbücher für die Anwalts- praxis, Prozessieren vor Bundesgericht, 2. Aufl. 1998, Rz 3.61 S. 110 f. mit Hinw. in Fn. 117). Wenn die für die Rechtsanwendung erheblichen Sachverhaltfeststellungen fehlen und aus den Akten nicht ohne erheblichen Aufwand ergänzt werden können, weist das Bundesgericht die Sache in der Regel an die Vorinstanz zurück ( BGE 125 II 105 E. 2d S. 110 f.; 123 II 16 E. 4 S. 23 f., 49 E. 5a und 6b). a) Soweit die Beschwerdeführerin auf Vertragsver- handlungen mit einem neuen Geldgeber während des Zeitraumes der Unterstellung der Liegenschaft unter die betreibungs- rechtliche Zwangsverwaltung verweist ( Art. 155 Abs. 1 SchKG i.V.m. Art. 102 Abs. 3 und Art. 103 SchKG sowie Art. 16 f. VZG [SR 281.42]) und die verspätete Übergabe von Mietverträ- gen und Hausschlüsseln an das Betreibungsamt mit zeitweiliger Krankheit begründet, setzt sie sich nicht mit der Begründung des angefochtenen Entscheids auseinander und vermag nicht darzulegen, inwiefern der rechtserhebliche Sachverhalt (s. lit. c hiernach) gemäss Art. 105 Abs. 2 OG zu korrigieren ist. Das Gleiche gilt für ihre Ausführungen zu den Bestrebun- gen, über sie eine Vormundschaft zu errichten, und zur Straf- anzeige des Betreibungsamtes nach Art. 292 StGB gegen sie. Insoweit wendet sich der Beschwerdegegner zu Recht gegen die Beschwerdeschrift. b) Die Beschwerdeführerin rügt weiter, die Mieter hätten von der Zwangsverwaltung gar nichts gewusst; das Be- treibungsamt und die O._______ SA hätten es versäumt, die Mieter auf die Pflicht zur Abgabe der Mietzinse an die Ver- waltung hinzuweisen. Weil das Betreibungsamt ihr die Haus- schlüssel im Februar 1997 zurückgeschickt habe, sei sie von der Aufhebung der Zwangsverwaltung ausgegangen. Zu ihrem grossen Erstaunen habe sie im Juni 1997 dennoch ein Schreiben des Betreibungsamtes erhalten, nach dem sie keine Mietzinse einziehen dürfe. Auch habe die Verwaltung Fehler beim Unter- halt der Liegenschaft, beim Beizug von Handwerkern und im Zusammenhang mit der unterlassenen Einsetzung eines Hauswar- tes und gleichzeitigen Mieters gemacht. Da das Verwaltungsgericht festgestellt hat, dass die amtlichen Verwalter die Liegenschaft mangelhaft verwaltet und sich nicht hinreichend um neue Mieter gekümmert haben, vermö- gen diese Rügen den Ausgang des Beschwerdeverfahrens nicht zu beeinflussen (vgl. BGE 117 Ib 414 E. 1d S. 417 f.) und sind somit nicht zu hören. c) Die Beschwerdeführerin macht schliesslich gel- tend, die O.________ SA und das Betreibungsamt hätten zielstrebig auf eine Zwangsvollstreckung hingearbeitet. Daher seien beide Verwaltungsorgane nicht an einer Vermietung leer gewordener Wohnungen interessiert gewesen, was bei einem Miethaus, dessen Wert sich auch nach der erzielten Rendite richte, sinnlos sei; sie hätten zum Teil geschuldete Mieten gar nicht eingezogen. Die amtlichen Verwalter hätten keinen einzigen Mietvertrag geschlossen. Sie habe sich selber um neue Mieter gekümmert, weil sie leere Wohnungen nicht akzep- tieren wollte. Das Verwaltungsgericht habe in willkürlicher Weise Feststellungen zu Punkten unterlassen, aus denen sich zweifelsfrei ergeben hätte, dass sie sich entgegen der Dar- stellung im angefochtenen Urteil erst einmischte, als die Strategie der amtlichen Verwalter, das Haus leer werden zu lassen, erkennbar geworden sei. Zu Beginn der amtlichen Ver- waltung habe sie noch einen einzigen Mietvertrag abgeschlos- sen, weil die Vorbereitungen schon entsprechend weit gediehen waren, weshalb sie den Abschluss dem Betreibungsamt denn auch gemeldet habe, wie dem Übergabeprotokoll entnommen werden könne. Auch habe sie die für die amtliche Verwaltung erfor- derlichen Utensilien so bald als möglich herausgegeben, noch bevor sie von der Anzeige nach Art. 292 StGB Kenntnis nehmen konnte. Ganz allgemein sei die Entwicklung des Verhältnisses zwischen ihr und den amtlichen Verwaltern in zeitlicher Hin- sicht willkürlich nicht festgestellt worden. Auch sei verfas- sungswidrig erkannt worden, sie habe diese von ihrer Arbeit abgehalten. aa) Für die Ermittlung des Schadens, die Widerrecht- lichkeit und für den Kausalzusammenhang zwischen dem schädi- genden Ereignis und dem Schaden wird in Staatshaftungsfällen auf zivilrechtliche Grundsätze zurückgegriffen (BGE 123 II 577 E. 4d/bb S. 581 f., 107 Ib 160 E. 2 S. 162 f.). Nach der hier somit anwendbaren Bestimmung von Art. 44 Abs. 1 OR (Gas- ser, a.a.O. N 8 und 15 zu Art. 5 SchKG ; Jaeger/Walder/Kull/ Kottmann, a.a.O. N 5 zu Art. 5 SchKG ) kann der Richter das haftpflichtige Gemeinwesen von der Haftung ganz oder zum Teil u. a. dann befreien, wenn der Geschädigte durch Umstände, für die er einstehen muss, auf die Entstehung oder Ver- schlimmerung des Schadens eingewirkt oder wenn er die Stel- lung des Ersatzpflichtigen sonstwie erschwert hat (Gilliéron, a.a.O. N 53 zu Art. 5 SchKG ); der zweiten Variante kommt ne- ben der ersten nur untergeordnete Bedeutung zu (Brehm, Berner Kommentar, 2. Aufl. 1998, N 61 ff. zu Art. 44 OR ). Wie für den Haftpflichtigen selbst muss auch das vom Geschädigten zu vertretende Verhalten natürlich und adäquat kausal für die Entstehung oder Verschlimmerung des Schadens sein (BGE 123 III 306 E. 5 S. 313 f., 116 II 422 E. 3 f. S. 427 f.; Gillié- ron, a.a.O. N 50 zu Art. 5 SchKG ; Gasser, a.a.O. N 41 zu Art. 5 SchKG ; zur Abgrenzung von Sachverhalts- und Rechtsfra- gen sowie zum Begriff der Adäquanz BGE 123 III 110 E. 2 f.). Damit Art. 44 Abs. 1 OR zum Tragen kommen kann, muss der Ge- schädigte den Schaden zumindest mitverursacht haben (Brehm, a.a.O. N 46 zu Art. 44 OR ), wobei auf ein Verschulden des Geschädigten nichts ankommt (Brehm, a.a.O. N 54 f. zu Art. 44 OR ). bb) Die Beschwerdeführerin und die Vorinstanz gehen darin einig, dass sich die amtlichen Verwalter nicht hinrei- chend um die Vermietung der Liegenschaft gekümmert haben und dass sich die Beschwerdeführerin in die Verwaltung einge- mischt hat. Die Beschwerdeführerin macht im Ergebnis geltend, ihre Einmischung habe den Schaden nicht verursacht. Aus der Feststellung des Verwaltungsgerichts, die Zwangsverwalter seien ihren Amtspflichten nicht ausreichend nachgekommen, muss - vom Verhalten der Beschwerdeführerin einmal abgesehen - in rechtlicher Hinsicht ( Art. 17 VZG ; BGE 119 Ib 208 E. 5a S. 214 f., 116 Ib 367 E. 4c S. 374) ge- schlossen werden, der Schaden sei durch Unterlassen von Amts- handlungen entstanden (Gasser, a.a.O. N 13 lemma 4 und N 42 zu Art. 5 SchKG ; Gilliéron, N 54 f. zu Art. 5 SchKG ), indem sich die amtlichen Verwalter nicht um eine ordentliche Be- wirtschaftung der Liegenschaft der Beschwerdeführerin im Hin- blick auf das Erzielen eines angemessenen Mietertrages geküm- mert haben. Infolgedessen hätte sich die Beschwerdeführerin zwar wohl in die "Verwaltungstätigkeit" einmischen, aber nichts zur Entstehung oder Vermehrung des durch Unterlassung entstandenen Schadens beitragen können. Im Ergebnis argumen- tiert die Beschwerdeführerin auch so: Sie zieht vom gesamten Verlust an Mietzinseinnahmen von Fr. 147'050.--, der dadurch entstanden sein soll, dass die monatlichen Mietzinseinnahmen von Fr. 8'650.-- vor der Zwangsverwaltung in deren Verlauf auf Fr. 3'540.-- gesunken seien, diejenigen Fr. 44'510.-- ab, die sie während der Zwangsverwaltung selber aus Vermietungen erwirtschaftet haben will. Mit diesem Abzug macht sie in rechtlicher Hinsicht Schadensminderung geltend (Brehm, a.a.O. N 50 zu Art. 44 OR ). Wie dem in casu tatsächlich ist, kann offen bleiben: Soweit im angefochtenen Entscheid festgestellt wird, die amtlichen Verwalter hätten sich nicht um eine hin- reichende Vermietung gekümmert und die Beschwerdeführerin habe eine ordentliche Verwaltung durch Einmischung verhindert und den Schaden verschuldet, leidet er an einem inneren Wi- derspruch (vgl. BGE 109 Ia 19 E. 5f S. 29). Denn bei der bis- her festgestellten Sachlage können unterlassene Amtshandlun- gen (Untätigkeit der Verwalter) nicht durch Einmischung (ei- genmächtige Vornahme von Verwaltungshandlungen) verhindert werden. Somit rügt die Beschwerdeführerin im Ergebnis zu Recht, die Vorinstanz habe nicht rechtsgenüglich festge- stellt, inwiefern ihr Verhalten zeitlich und tatsächlich ge- eignet war, den Kausalzusammenhang zwischen der mangelhaften Verwaltung (Unterlassen von Vermietungen) und dem eingetre- tenen Schaden (Mietzinsausfälle) zu unterbrechen. Soweit der Beschwerdegegner in diesem Zusammenhang geltend macht, das Verwaltungsgericht habe nicht qualifiziert falsch geurteilt, verkennt er, dass die Vorinstanz gar nicht festgestellt hat, inwiefern das Verhalten der Beschwerdefüh- rerin kausal für den eingetretenen Schaden sein soll bzw. sein kann. d) Demnach ist der angefochtene Entscheid aufzuheben und die Sache an die Vorinstanz zurückzuweisen, damit diese die erforderlichen rechtserheblichen Feststellungen treffen kann. Das Verwaltungsgericht wird auch prüfen können, ob die von der Beschwerdeführerin angebotenen Zeugen einzuvernehmen, die von ihr verlangten Dokumente zu erstellen und die von ihr angebotenen weiteren Beweise abzunehmen sind.</w:t>
      </w:r>
    </w:p>
    <w:p>
      <w:r>
        <w:rPr>
          <w:b/>
        </w:rPr>
        <w:t>E. 5</w:t>
      </w:r>
    </w:p>
    <w:p>
      <w:r>
        <w:t>Am Ausgang des Beschwerdeverfahrens vermag auch der Hinweis des Verwaltungsgerichts nichts zu ändern, dass die Beschwerdeführerin Verfügungen der amtlichen Verwalter mit Rechtsmitteln des SchKG hätte anfechten sollen und das Ver- säumte nicht im Staatshaftungsverfahren nachholen kann. Denn Verwaltungshandlungen, die sich nicht an die Adresse der Be- schwerdeführerin als Eigentümerin der zwangsverwalteten Lie- genschaft richten, sind nicht Verfügungen und somit nicht Gegenstand des Rekurses nach Art. 17 ff. SchKG (Cometta, in: Kommentar zum Bundesgesetz über Schuldbetreibung und Konkurs, Bd. I, N 22 lemma 2 zu Art. 17 SchKG ; Amonn/Gasser, a.a.O. § 6 Rz 7 S. 36). Daher ist z. B. auch nur die an die Be- schwerdeführerin gerichtete Rechnungslegung rekursfähig ( Art. 21 Abs. 2 VZG ), und das Fehlen einer Abrechnung würde nicht erlauben, von der Ermittlung des Schadens abzusehen, wenn der Beschwerdegegner haftpflichtig wäre.</w:t>
      </w:r>
    </w:p>
    <w:p>
      <w:r>
        <w:rPr>
          <w:b/>
        </w:rPr>
        <w:t>E. 6</w:t>
      </w:r>
    </w:p>
    <w:p>
      <w:r>
        <w:t>Dringt die Verwaltungsgerichtsbeschwerde im Wesent- lichen durch, wird der unterliegende Beschwerdegegner, der sich angesichts seiner finanziellen Interessen nicht auf Art. 156 Abs. 2 OG berufen kann (Poudret/Sandoz-Monod, a.a.O., Bd. V, Bern 1992, N 3 zu Art. 156 OG S. 146 Mitte),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