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5P.115/2006 vom 12. April 2006</w:t>
      </w:r>
    </w:p>
    <w:p>
      <w:r>
        <w:t>Bundesgericht, 2006-04-12, DE</w:t>
      </w:r>
    </w:p>
    <w:p>
      <w:r>
        <w:rPr>
          <w:b/>
        </w:rPr>
        <w:t xml:space="preserve">Quelle: </w:t>
      </w:r>
      <w:r>
        <w:t>https://mcp.opencaselaw.ch/entscheid/bger_5P.115_2006</w:t>
      </w:r>
    </w:p>
    <w:p>
      <w:r>
        <w:t>FR: TF 5P.115/2006 du 12 avril 2006</w:t>
      </w:r>
    </w:p>
    <w:p>
      <w:r>
        <w:t>IT: TF 5P.115/2006 del 12 aprile 2006</w:t>
      </w:r>
    </w:p>
    <w:p>
      <w:pPr>
        <w:pStyle w:val="Heading2"/>
      </w:pPr>
      <w:r>
        <w:t>Regeste</w:t>
      </w:r>
    </w:p>
    <w:p>
      <w:r>
        <w:t>Art. 9 BV etc. (Revision eines kantonalen Kindesrückführungsentscheids) | Familienrecht</w:t>
      </w:r>
    </w:p>
    <w:p>
      <w:pPr>
        <w:pStyle w:val="Heading2"/>
      </w:pPr>
      <w:r>
        <w:t>Erwägungen</w:t>
      </w:r>
    </w:p>
    <w:p>
      <w:r>
        <w:rPr>
          <w:b/>
        </w:rPr>
        <w:t>E. 1</w:t>
      </w:r>
    </w:p>
    <w:p>
      <w:r>
        <w:t>Das Bundesgericht prüft von Amtes wegen und mit freier Kognition, ob und in welchem Umfang auf eine staatsrechtliche Beschwerde einzutreten ist ( BGE 131 I 153 E. 1 S. 156).</w:t>
      </w:r>
    </w:p>
    <w:p>
      <w:r>
        <w:rPr>
          <w:b/>
        </w:rPr>
        <w:t>E. 1.1</w:t>
      </w:r>
    </w:p>
    <w:p>
      <w:r>
        <w:t>Im Rahmen einer staatsrechtlichen Beschwerde überprüft das Bundesgericht die Verletzung von Staatsvertragsrecht frei ( BGE 126 III 438 E. 3 S. 439; 130 III 489 E. 1.4 S. 492). Hingegen beschränkt sich die Kognition hinsichtlich kantonalem Recht und Sachverhaltsfeststellungen auf eine Willkürprüfung ( BGE 127 I 202 E. 3a S. 204 f. ; 129 I 110 E. 1.3 S. 111 f.). Unzulässig im Verfahren der staatsrechtlichen Beschwerde ist das Vorbringen von Noven ( BGE 128 I 354 E. 6c S. 357 ; 129 I 49 E. 3 S. 57). Soweit die Beschwerdeführerin neue Beweise einreicht und die Edition von Akten beantragt, können ihre Begehren demnach nicht gehört werden.</w:t>
      </w:r>
    </w:p>
    <w:p>
      <w:r>
        <w:rPr>
          <w:b/>
        </w:rPr>
        <w:t>E. 1.2</w:t>
      </w:r>
    </w:p>
    <w:p>
      <w:r>
        <w:t>Nicht einzutreten ist auf Vorhalte, die sich nicht auf den angefochtenen Entscheid beziehen, sondern in genereller Weise das Verhalten von Behörden, Gerichten sowie der Zentralstelle rügen. Nicht zu beachten ist weiter die unter dem Titel "Vorbemerkungen" enthaltene allgemeine Kritik an der Verwendung des Begriffs "Entführung" durch das Obergericht, da damit keine konkrete entscheidbezogene Rüge verbunden ist. Ebenfalls nicht einzutreten ist auf den Vorwurf, aus dem angefochtenen Entscheid ergebe sich der Eindruck, das Obergericht habe sich von Vorurteilen und Befangenheit leiten lassen. Konkrete Ablehnungsgründe gegen die beteiligten Richter im Sinne von Art. 30 Abs. 1 BV bringt die Beschwerdeführerin in diesem Punkt nicht vor.</w:t>
      </w:r>
    </w:p>
    <w:p>
      <w:r>
        <w:rPr>
          <w:b/>
        </w:rPr>
        <w:t>E. 2</w:t>
      </w:r>
    </w:p>
    <w:p>
      <w:r>
        <w:t>Das Obergericht ist zunächst zum Schluss gelangt, auch im Vollstreckungstadium (eines Rückführungsentscheids) sei das Kindeswohl zu beachten, doch könne es nicht in dem Sinn oberste Leitmaxime sein, als der materielle Rückführungsentscheid als solcher in Frage gestellt oder gar die ganze Streitsache neu aufgerollt werden dürfe. Geprüft werden könne einzig, ob nach dem Rückführungsentscheid neue Tatsachen eingetreten sind, die dessen Vollstreckung im Lichte des Haager Entführungsübereinkommens als unzumutbar erscheinen liessen. Die Beschwerdeführerin mache aber keine echten Noven geltend, die eine Vollstreckung des Rückführungsentscheids vom 12. Juli 2004 als unzumutbar erscheinen liessen. Das Obergericht hat in diesem Punkt im Wesentlichen auf BGE 130 III 530 abgestellt. Gemäss diesem Entscheid kann im Vollstreckungsverfahren einzig geprüft werden, ob seit dem Rückführungsentscheid neue Tatsachen eingetreten sind, die vorübergehender Natur sind und die dessen Vollstreckung als unzumutbar erscheinen lassen ( BGE 130 III 530 E. 2 S. 533 ff.). Für den vorliegenden Fall ist das erwähnte Bundesgerichtsurteil indes nicht einschlägig: Die Beschwerdeführerin hat im kantonalen Verfahren nicht die Verweigerung der Vollstreckung des Rückführungsentscheids verlangt, sondern die Revision des Rückführungsentscheids an sich. An der Sache vorbei geht auch die Kritik, welche die Beschwerdeführerin an den obergerichtlichen Erwägungen übt, sowie ihre Vorwürfe bezüglich der Handhabung des Haager Übereinkommens durch die schweizerischen Behörden im Allgemeinen. Soweit sie dem Obergericht in diesem Zusammenhang zudem eine Verletzung des rechtlichen Gehörs vorwirft, weil es ohne Begründung ausgeführt habe, es seien keine echten Noven geltend gemacht worden, weist sie nicht nach, ob und welche echten Noven sie im kantonalen Verfahren überhaupt geltend gemacht hat. Mangels Vorbringen einer genügend substantiierten Rüge kann in diesem Punkt folglich nicht auf die Beschwerde eingetreten werden ( Art. 90 Abs. 1 lit. b OG ). Ob - abgesehen von der prozessrechtlichen Revision (vgl. E. 3 unten) - auf einen Rückführungsentscheid zurückgekommen werden kann, kann damit offen bleiben.</w:t>
      </w:r>
    </w:p>
    <w:p>
      <w:r>
        <w:rPr>
          <w:b/>
        </w:rPr>
        <w:t>E. 3</w:t>
      </w:r>
    </w:p>
    <w:p>
      <w:r>
        <w:t>Weiter hat das Obergericht geprüft, ob sein Entscheid vom 12. Juli 2004 gemäss kantonalem Prozessrecht in Revision gezogen werden könne: Es hat ausgeführt, nach § 273 ZPO /LU sei die Revision zulässig gegen Endentscheide, welche nach der Zivilprozessordnung formell und materiell rechtskräftig seien. Revisionsfähig seien Urteile in der Sache, mit denen ein Recht oder ein Rechtsverhältnis im Rahmen eines materiell-rechtlichen, kontradiktorischen Verfahrens geprüft und die Streitsache für die Parteien verbindlich entschieden worden sei. Wie bei den vollstreckungsrechtlichen Entscheiden nach SchKG liege auch bei den Entscheiden betreffend Kindsrückführung nach Haager Entführungsübereinkommen keine Zivilsache vor. Beim Verfahren betreffend Rückführung eines Kindes handle es sich nicht um eine Zivilrechtsstreitigkeit, vielmehr stelle es eine Art administrative Rechtshilfe zwischen den Vertragsstaaten zur Verfügung. Damit sei der Rückführungsentscheid vom 12. Juli 2004 nicht revisionsfähig im Sinne der § § 273 ff. ZPO /LU. Mit den Voraussetzungen der kantonalen Revision setzt sich die Beschwerdeführerin nur ungenügend auseinander. Ihre Ausführungen in diesem Punkt erschöpfen sich im Wesentlichen in der generellen Bestreitung der obergerichtlichen Erwägungen sowie im Aufwerfen von rhetorischen Fragen. Dass das Obergericht kantonales Prozessrecht geradezu willkürlich angewendet hat, vermag sie damit nicht darzutun. Im Übrigen ist ein Entscheid wegen Willkür nur aufzuheben, wenn nicht bloss die Begründung, sondern auch das Ergebnis unhaltbar ist ( BGE 127 I 54 E. 2b S. 56 ; 129 I 8 E. 2.1 S. 9). Die Beschwerdeführerin geht in der staatsrechtlichen Beschwerde mit keinem Wort auf die Voraussetzungen der kantonalen Revision ein und legt auch nicht dar, inwiefern vorliegend ein Revisionsgrund gegeben ist. Auf die Rüge kann damit mangels rechtsgenüglicher Begründung nicht eingetreten werden ( Art. 90 Abs. 1 lit. b OG ).</w:t>
      </w:r>
    </w:p>
    <w:p>
      <w:r>
        <w:rPr>
          <w:b/>
        </w:rPr>
        <w:t>E. 4</w:t>
      </w:r>
    </w:p>
    <w:p>
      <w:r>
        <w:t>Schliesslich rügt die Beschwerdeführerin noch die Verweigerung der unentgeltlichen Rechtspflege durch das Obergericht, indes ohne dieses Vorbringen näher zu begründen. Damit kann in diesem Punkt nicht auf die Beschwerde eingetreten werden ( Art. 90 Abs. 1 lit. b OG ). Dementsprechend kann auf die staatsrechtliche Beschwerde insgesamt nicht eingetreten werden. Bei diesem Ausgang des Verfahrens wird die Beschwerdeführerin grundsätzlich kostenpflichtig ( Art. 156 Abs. 1 OG ). Sie schuldet dem Beschwerdegegner allerdings keine Parteientschädigung für das bundesgerichtliche Verfahren, da keine Vernehmlassung eingeholt worden ist.</w:t>
      </w:r>
    </w:p>
    <w:p>
      <w:r>
        <w:rPr>
          <w:b/>
        </w:rPr>
        <w:t>E. 5</w:t>
      </w:r>
    </w:p>
    <w:p>
      <w:r>
        <w:t>Die Beschwerdeführerin beantragt für das bundesgerichtliche Verfahren unentgeltliche Prozessführung und Rechtsverbeiständung. Sie beruft sich dabei auf Art. 22 und Art. 25 HEntfÜ . Einen selbstständigen Anspruch auf Unentgeltlichkeit des Verfahrens nach dem Haager Übereinkommen ergibt sich aber wenn schon aus Art. 26 HEntfÜ . Indes ist diese Bestimmung nach konstanter Rechtsprechung des Bundesgerichts für die staatsrechtliche Beschwerde als ausserordentliches Rechtsmittel nicht anwendbar (Urteil des Bundesgerichts 5P.71/2003 vom 27. März 2003, E. 5, publ. in: FamPra.ch 2003 S. 716). Die unentgeltliche Rechtspflege kann der Beschwerdeführerin damit nur unter den Voraussetzungen von Art. 152 OG gewährt werden: Demnach ist diese einer Partei zu bewilligen, die bedürftig und deren Sache nicht aussichtslos ist ( Art. 152 Abs. 1 OG ; BGE 125 II 265 E. 4b S. 275 ; 129 I 129 E. 2.3.1 S. 135 f.). Im vorliegenden Fall konnte auf die Beschwerde wegen ungenügender Begründung ( Art. 90 Abs. 1 lit. b OG ) überhaupt nicht eingetreten werden. Damit haben die Verlustgefahren von vornherein überwogen, so dass das Gesuch um unentgeltliche Rechtspflege wegen Aussichtslosigkeit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