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5G_2/2015 vom 8. Oktober 2015</w:t>
      </w:r>
    </w:p>
    <w:p>
      <w:r>
        <w:t>Bundesgericht, 2015-10-08, FR</w:t>
      </w:r>
    </w:p>
    <w:p>
      <w:r>
        <w:rPr>
          <w:b/>
        </w:rPr>
        <w:t xml:space="preserve">Quelle: </w:t>
      </w:r>
      <w:r>
        <w:t>https://mcp.opencaselaw.ch/entscheid/bger_5G_2_2015</w:t>
      </w:r>
    </w:p>
    <w:p>
      <w:r>
        <w:t>FR: TF 5G_2/2015 du 8 octobre 2015</w:t>
      </w:r>
    </w:p>
    <w:p>
      <w:r>
        <w:t>IT: TF 5G_2/2015 del 8 ottobre 2015</w:t>
      </w:r>
    </w:p>
    <w:p>
      <w:pPr>
        <w:pStyle w:val="Heading2"/>
      </w:pPr>
      <w:r>
        <w:t>Erwägungen</w:t>
      </w:r>
    </w:p>
    <w:p>
      <w:r>
        <w:rPr>
          <w:b/>
        </w:rPr>
        <w:t>E. 1</w:t>
      </w:r>
    </w:p>
    <w:p>
      <w:r>
        <w:t>En vertu de l' art. 129 al. 1 LTF , si le dispositif d'un arrêt est peu clair, incomplet ou équivoque, ou si ses éléments sont contradictoires entre eux ou avec les motifs, ou s'ils contient des erreurs de rédaction ou de calcul, le Tribunal fédéral, à la demande écrite d'une partie ou d'office, interprète ou rectifie l'arrêt.</w:t>
      </w:r>
    </w:p>
    <w:p>
      <w:r>
        <w:t>Lorsque le Tribunal fédéral, saisi d'un recours, modifie la décision attaquée, il peut répartir autrement les frais de la procédure antérieure ( art. 67 LTF ). Il s'agit là d'une faculté, le Tribunal fédéral pouvant également choisir de renvoyer la cause à l'autorité précédente pour qu'elle réexamine cette question (arrêts 4G_2/2013 du 3 février 2014 consid. 2; 4F_14/2013 du 24 octobre 2013 consid. 2.1). En ce qui concerne les dépens, l' art. 68 al. 5 LTF précise que le Tribunal fédéral confirme, annule ou modifie, selon le sort de la cause, la décision de l'autorité précédente et qu'il peut arrêter lui-même les dépens d'après le tarif applicable ou laisser à l'autorité précédente le soin de les fixer.</w:t>
      </w:r>
    </w:p>
    <w:p>
      <w:r>
        <w:rPr>
          <w:b/>
        </w:rPr>
        <w:t>E. 2</w:t>
      </w:r>
    </w:p>
    <w:p>
      <w:r>
        <w:t>Dans son arrêt du 16 mars 2015, la Cour de céans a annulé l'arrêt cantonal et donné raison au recourant, en prononçant l'exequatur de l'arrêt rendu le 28 mars 2013 par la Cour d'appel de Paris. Quand bien même la décision attaquée était modifiée, le Tribunal fédéral a omis, par inadvertance, de prendre position sur les frais et dépens de la procédure cantonale, que ce soit en tranchant lui-même la question ou en renvoyant la cause à l'autorité précédente pour nouvelle décision sur ce point. Le dispositif de l'arrêt du 16 mars 2015 est donc incomplet et la demande de rectification se révèle fondée. Il ne peut en revanche être donné droit aux conclusions du requérant tendant à ce que l'Etat de Vaud lui restitue les avances de frais qu'il aurait versées, et à ce que l'intimée lui rembourse le montant qu'il lui aurait payé à titre de dépens, puisque la cause est renvoyée concernant les frais et dépens de la procédure cantonale, de sorte que l'on ignore comment ils seront finalement fixés et répartis entre les parties.</w:t>
      </w:r>
    </w:p>
    <w:p>
      <w:r>
        <w:rPr>
          <w:b/>
        </w:rPr>
        <w:t>E. 3</w:t>
      </w:r>
    </w:p>
    <w:p>
      <w:r>
        <w:t>Vu ce qui précède, la requête est admise et la cause est renvoyée à la Chambre des recours civile du Tribunal cantonal du canton de Vaud pour qu'elle statue à nouveau sur les frais et dépens de la procédure cantonale. Il n'y a pas lieu de percevoir des frais judiciaires pour la procédure de rectification. Devant la Cour de céans, l'intimée a déclaré s'en remettre à justice quant au sort de la présente procédure. On ne saurait cependant considérer qu'elle a acquiescé - même implicitement - à la requête de rectification ( ATF 123 V 156 consid. 3 p. 156 ss; arrêt 4A_616/2013 du 16 juin 2014 consid. 4). Elle doit ainsi être considérée comme la partie qui succombe, puisque la décision est rectifiée à son détriment. Partant, elle doit verser des dépens au requérant pour la procédure fédérale ( art. 68 al. 1 et 2 LTF ). Le conseil du requérant explique avoir consacré environ sept heures à la présente cause, plus précisément à divers échanges de courriers avec l'autorité cantonale, le conseil adverse et son client, ainsi qu'à la rédaction de sa requête de rectification, de sorte qu'elle sollicite une indemnité de dépens de 2'751 fr. 80, débours compris. Cela étant, pour la présente procédure, une durée de sept heures de travail apparaît excessive. L'indemnité de dépens pour la procédure fédérale sera fixée, en équité, à 1'000 fr. Vu ce qui précède, la requête du recourant tendant à ce qu'il soit dispensé de toute avance de frais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