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5G_2/2008 vom 22. August 2008</w:t>
      </w:r>
    </w:p>
    <w:p>
      <w:r>
        <w:t>Bundesgericht, 2008-08-22, DE</w:t>
      </w:r>
    </w:p>
    <w:p>
      <w:r>
        <w:rPr>
          <w:b/>
        </w:rPr>
        <w:t xml:space="preserve">Quelle: </w:t>
      </w:r>
      <w:r>
        <w:t>https://mcp.opencaselaw.ch/entscheid/bger_5G_2_2008</w:t>
      </w:r>
    </w:p>
    <w:p>
      <w:r>
        <w:t>FR: TF 5G_2/2008 du 22 août 2008</w:t>
      </w:r>
    </w:p>
    <w:p>
      <w:r>
        <w:t>IT: TF 5G_2/2008 del 22 agosto 2008</w:t>
      </w:r>
    </w:p>
    <w:p>
      <w:pPr>
        <w:pStyle w:val="Heading2"/>
      </w:pPr>
      <w:r>
        <w:t>Erwägungen</w:t>
      </w:r>
    </w:p>
    <w:p>
      <w:r>
        <w:rPr>
          <w:b/>
        </w:rPr>
        <w:t>E. 1</w:t>
      </w:r>
    </w:p>
    <w:p>
      <w:r>
        <w:t>Nach Art. 129 Abs. 1 BGG nimmt das Bundesgericht die Erläuterung vor, wenn das Dispositiv seines Entscheids unklar, unvollständig oder zweideutig ist, wenn die Bestimmungen des Entscheids untereinander oder mit der Begründung im Widerspruch stehen oder wenn der Entscheid Redaktions- oder Rechnungsfehler enthält. Die Erläuterung eines Rückweisungsentscheids ist nur zulässig, solange die Vorinstanz nicht den neuen Entscheid getroffen hat ( Art. 129 Abs. 2 BGG ).</w:t>
      </w:r>
    </w:p>
    <w:p>
      <w:r>
        <w:rPr>
          <w:b/>
        </w:rPr>
        <w:t>E. 1.1</w:t>
      </w:r>
    </w:p>
    <w:p>
      <w:r>
        <w:t>Ob die Vormundschaftsbehörde aufgrund von Dispositiv-Ziffer 2.2 des Urteils vom 22. Mai 2008 Anordnungen getroffen hat, die im Sinne von Art. 129 Abs. 2 BGG einer Erläuterung entgegenstünden, mag dahin gestellt bleiben. Wie im Folgenden darzulegen sein wird, ist dem Gesuch ohnehin kein Erfolg beschieden.</w:t>
      </w:r>
    </w:p>
    <w:p>
      <w:r>
        <w:rPr>
          <w:b/>
        </w:rPr>
        <w:t>E. 1.2</w:t>
      </w:r>
    </w:p>
    <w:p>
      <w:r>
        <w:t>Einen Grund zur Erläuterung erblickt die Gesuchstellerin darin, dass "der aufgrund der etwas knappen bzw. lückenhaften Begründung entstehende Eindruck in klarem Widerspruch zum Urteils-Dispositiv mit der vollumfänglichen Beschwerdegutheissung" stehe. Mit dem Hinweis, ihre Beschwerde sei vollumfänglich gutgeheissen worden, ersucht sie darum, Fragen, die Gegenstand ihres Rekurses an das Obergericht gebildet hätten, in dem von ihr vorgegebenen Sinn zu erläutern. Sie verlangt damit letztlich eine materielle Abänderung von Dispositiv-Ziffer 2.2 des Urteils vom 22. Mai 2008 (Überweisung der Sache an die Vormundschaftsbehörde der Stadt A.________ zur Bestellung des Beistands und zur Umschreibung der diesem zufallenden Aufgaben): Die Urteilserwägungen, auf die an der genannten Stelle des Dispositivs verwiesen wird, enthalten Ausführungen, die die von der Gesuchstellerin angesprochenen Einzelfragen betreffen (E. 6). Aus ihnen ergibt sich die Anordnung, dass letztere durch die Vormundschaftsbehörde bzw. durch den zu ernennenden Beistand zu prüfen sein werden. Die Gesuchstellerin strebt mit ihren Erläuterungsanträgen an, die angeführten Fragen (abschliessend) durch das Bundesgericht beurteilen zu lassen, was darauf hinausliefe, das Urteil vom 22. Mai 2008 in dieser Hinsicht in Wiedererwägung zu ziehen. Hierzu fehlt die gesetzliche Grundlage.</w:t>
      </w:r>
    </w:p>
    <w:p>
      <w:r>
        <w:rPr>
          <w:b/>
        </w:rPr>
        <w:t>E. 2</w:t>
      </w:r>
    </w:p>
    <w:p>
      <w:r>
        <w:t>Ein Erläuterungsgrund im Sinne von Art. 129 Abs. 1 BGG ist nach dem Gesagten nicht dargetan, so dass das Gesuch abzuweisen ist. Bei diesem Ausgang sind die Gerichtskosten der Gesuchstellerin aufzuerlegen ( Art. 66 Abs. 1 BGG ). Da keine Vernehmlassungen eingeholt worden und dem Gesuchgegner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