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5G_1/2019 vom 28. Oktober 2019</w:t>
      </w:r>
    </w:p>
    <w:p>
      <w:r>
        <w:t>Bundesgericht, 2019-10-28, DE</w:t>
      </w:r>
    </w:p>
    <w:p>
      <w:r>
        <w:rPr>
          <w:b/>
        </w:rPr>
        <w:t xml:space="preserve">Quelle: </w:t>
      </w:r>
      <w:r>
        <w:t>https://mcp.opencaselaw.ch/entscheid/bger_5G_1_2019</w:t>
      </w:r>
    </w:p>
    <w:p>
      <w:r>
        <w:t>FR: TF 5G_1/2019 du 28 octobre 2019</w:t>
      </w:r>
    </w:p>
    <w:p>
      <w:r>
        <w:t>IT: TF 5G_1/2019 del 28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5A_242/2019 vom 27. September 2019 hiess das Bundesgericht eine Beschwerde von A.________ gut und hob bestimmte Ziffern des angefochtenen Entscheids des Kantonsgerichts St. Gallen ganz oder teilweise auf (Dispositiv-Ziffer 1 des bundesgerichtlichen Urteils).</w:t>
      </w:r>
    </w:p>
    <w:p>
      <w:r>
        <w:t>Am 21. Oktober 2019 hat A.________ (Gesuchstellerin) um Berichtigung von Dispositiv-Ziffer 1 des bundesgerichtlichen Urteils gemäss Art. 129 BGG ersucht.</w:t>
      </w:r>
    </w:p>
    <w:p>
      <w:r>
        <w:t>Am 24. Oktober 2019 hat die Gesuchstellerin das Berichtigungsgesuch zurückgezogen.</w:t>
      </w:r>
    </w:p>
    <w:p>
      <w:r>
        <w:rPr>
          <w:b/>
        </w:rPr>
        <w:t>E. 2</w:t>
      </w:r>
    </w:p>
    <w:p>
      <w:r>
        <w:t>Das Berichtigungsverfahren ist folglich durch den Abteilungspräsidenten ( Art. 32 Abs. 2 BGG ) als durch Rückzug des Gesuchs erledigt abzuschreiben ( Art. 71 BGG i.V.m. Art. 73 BZP [SR 273]).</w:t>
      </w:r>
    </w:p>
    <w:p>
      <w:r>
        <w:rPr>
          <w:b/>
        </w:rPr>
        <w:t>E. 3</w:t>
      </w:r>
    </w:p>
    <w:p>
      <w:r>
        <w:t>Aufgrund des geringen entstandenen Aufwands rechtfertigt es sich, auf die Erhebung von Gerichtskosten zu verzichten ( Art. 66 Abs. 1 BGG ). Entschädigungen sind nicht zu 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