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1/2016 vom 29. März 2016</w:t>
      </w:r>
    </w:p>
    <w:p>
      <w:r>
        <w:t>Bundesgericht, 2016-03-29, DE</w:t>
      </w:r>
    </w:p>
    <w:p>
      <w:r>
        <w:rPr>
          <w:b/>
        </w:rPr>
        <w:t xml:space="preserve">Quelle: </w:t>
      </w:r>
      <w:r>
        <w:t>https://mcp.opencaselaw.ch/entscheid/bger_5G_1_2016</w:t>
      </w:r>
    </w:p>
    <w:p>
      <w:r>
        <w:t>FR: TF 5G 1/2016 du 29 mars 2016</w:t>
      </w:r>
    </w:p>
    <w:p>
      <w:r>
        <w:t>IT: TF 5G 1/2016 del 29 marzo 2016</w:t>
      </w:r>
    </w:p>
    <w:p>
      <w:pPr>
        <w:pStyle w:val="Heading2"/>
      </w:pPr>
      <w:r>
        <w:t>Regeste</w:t>
      </w:r>
    </w:p>
    <w:p>
      <w:r>
        <w:t>Erbteilung | Erbrecht</w:t>
      </w:r>
    </w:p>
    <w:p>
      <w:pPr>
        <w:pStyle w:val="Heading2"/>
      </w:pPr>
      <w:r>
        <w:t>Erwägungen</w:t>
      </w:r>
    </w:p>
    <w:p>
      <w:r>
        <w:rPr>
          <w:b/>
        </w:rPr>
        <w:t>E. 1.1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Die Wiederherstellung kann auch nach Eröffnung des Urteils bewilligt werden; wird sie bewilligt, so wird das Urteil aufgehoben ( Art. 50 Abs. 2 BGG ).</w:t>
      </w:r>
    </w:p>
    <w:p>
      <w:r>
        <w:rPr>
          <w:b/>
        </w:rPr>
        <w:t>E. 1.2</w:t>
      </w:r>
    </w:p>
    <w:p>
      <w:r>
        <w:t>Auf Wiederherstellung der Frist ist nur zu erkennen, wenn die Säumnis auf objektive oder subjektive Unmöglichkeit zurückzuführen ist, rechtzeitig zu handeln.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(Urteile 5G_2/2014 vom 17. April 2014 E. 1.2 und 5G_1/2013 vom 21. März 2013 E. 2 unter Hinweis auf die Urteile 6S.54/2006 vom 2. November 2006 E. 2.2.1; 1P.123/2005 vom 14. Juni 2005 E. 1.1 und 1.2).</w:t>
      </w:r>
    </w:p>
    <w:p>
      <w:r>
        <w:rPr>
          <w:b/>
        </w:rPr>
        <w:t>E. 2</w:t>
      </w:r>
    </w:p>
    <w:p>
      <w:r>
        <w:t>Der Gesuchsteller begründet sein Gesuch zusammengefasst damit, er sei heute nicht mehr hauptberuflich als Anwalt tätig, sondern engagiere sich stark für die E.________. Am 3. Februar 2016 sollte eine Promotionsreise nach U.________ stattfinden, die er habe vorbereiten müssen. Zudem sei die Frist für die Beschwerde gegen das Urteil des Obergerichts des Kantons Zürich vom 18. Dezember 2015 gelaufen, ebenso wie die Frist für eine Berufung gegen einen Entscheid des Bezirksgerichts Meilen vom 26. Januar 2016. Die Kumulierung dieser Umstände habe zu einer extremen Stresssituation geführt. Nur so sei zu erklären, dass er übersehen habe, dass die Rechtsmittelfristen auch sonntags zu laufen beginnen. Die kurzzeitige psychische Belastung habe zu einem objektiv nachvollziehbaren und daher entschuldbaren Versehen geführt.</w:t>
      </w:r>
    </w:p>
    <w:p>
      <w:r>
        <w:rPr>
          <w:b/>
        </w:rPr>
        <w:t>E. 3</w:t>
      </w:r>
    </w:p>
    <w:p>
      <w:r>
        <w:t>Mit diesen Ausführungen belegt der Gesuchsteller nicht, dass es ihm bei objektiver Betrachtungsweise nicht möglich gewesen wäre, fristgerecht zu handeln. Offensichtlich war der Gesuchsteller in der Lage zu handeln, nur handelte er zu spät. Die fehlerhafte Berechnung der Beschwerdefrist ist kein Wiederherstellungsgrund, selbst wenn die Falschbeurteilung auf eine Stresssituation zurückzuführen wäre. Im übrigen bezieht sich die behauptete Stresssituation auf das Ende des Monats Januar 2016. Wieso der Gesuchsteller bereits im Zeitpunkt der Zustellung des anzufechtenden Urteils ausserstande gewesen sein soll, den Ablauf der Frist zu ermitteln, wird weder behauptet noch dargetan.</w:t>
      </w:r>
    </w:p>
    <w:p>
      <w:r>
        <w:rPr>
          <w:b/>
        </w:rPr>
        <w:t>E. 4</w:t>
      </w:r>
    </w:p>
    <w:p>
      <w:r>
        <w:t>Das Gesuch um Wiederherstellung der Beschwerdefrist ist daher abzuweisen. Bei diesem Ausgang des Verfahrens wird der Gesuchsteller kostenpflichtig ( Art. 66 Abs. 1 BGG ). Er hat jedoch die Gegenparteien für das bundesgerichtliche Verfahren nicht zu entschädigen, da diesen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