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5G 1/2012 vom 4. Juli 2012</w:t>
      </w:r>
    </w:p>
    <w:p>
      <w:r>
        <w:t>Bundesgericht, 2012-07-04, FR</w:t>
      </w:r>
    </w:p>
    <w:p>
      <w:r>
        <w:rPr>
          <w:b/>
        </w:rPr>
        <w:t xml:space="preserve">Quelle: </w:t>
      </w:r>
      <w:r>
        <w:t>https://mcp.opencaselaw.ch/entscheid/bger_5G_1_2012</w:t>
      </w:r>
    </w:p>
    <w:p>
      <w:r>
        <w:t>FR: TF 5G 1/2012 du 4 juillet 2012</w:t>
      </w:r>
    </w:p>
    <w:p>
      <w:r>
        <w:t>IT: TF 5G 1/2012 del 4 luglio 2012</w:t>
      </w:r>
    </w:p>
    <w:p>
      <w:pPr>
        <w:pStyle w:val="Heading2"/>
      </w:pPr>
      <w:r>
        <w:t>Regeste</w:t>
      </w:r>
    </w:p>
    <w:p>
      <w:r>
        <w:t>requête en interprétation de l'arrêt du Tribunal fédéral (5A_361/2011) | Droit de la famille</w:t>
      </w:r>
    </w:p>
    <w:p>
      <w:pPr>
        <w:pStyle w:val="Heading2"/>
      </w:pPr>
      <w:r>
        <w:t>Erwägungen</w:t>
      </w:r>
    </w:p>
    <w:p>
      <w:r>
        <w:rPr>
          <w:b/>
        </w:rPr>
        <w:t>E. 1</w:t>
      </w:r>
    </w:p>
    <w:p>
      <w:r>
        <w:t>Selon l' art. 129 LTF , si le dispositif d'un arrêt du Tribunal fédéral est peu clair, incomplet ou équivoque, ou si ses éléments sont contradictoires entre eux ou avec les motifs, ou s'il contient des erreurs de rédaction ou de calcul, le Tribunal fédéral, à la demande écrite d'une partie ou d'office, interprète ou rectifie l'arrêt (al. 1). L'interprétation d'un arrêt du tribunal qui renvoie la cause à l'autorité précédente ne peut être demandée que si cette dernière n'a pas encore rendu sa nouvelle décision (al. 2).</w:t>
      </w:r>
    </w:p>
    <w:p>
      <w:r>
        <w:rPr>
          <w:b/>
        </w:rPr>
        <w:t>E. 1.1</w:t>
      </w:r>
    </w:p>
    <w:p>
      <w:r>
        <w:t>En principe, l'interprétation a pour objet le dispositif de l'arrêt, qui seul jouit de l'autorité de la chose jugée, et non ses motifs. Ceux-ci peuvent seulement servir à interpréter le dispositif. Ainsi, selon la jurisprudence relative à l'ancien droit, mais toujours applicable à l' art. 129 LTF , l'interprétation tend à remédier à une formulation du dispositif qui serait peu claire, incomplète, équivoque ou contradictoire en elle-même ou avec les motifs. Plus précisément, un dispositif est peu clair, et doit donc être interprété, lorsque les parties ou les autorités à qui la cause est renvoyée risquent subjectivement de comprendre la décision autrement que ce que voulait le tribunal lorsqu'il s'est prononcé (arrêt 2C_724/2010 du 27 juillet 2011 consid. 2.2 et la référence, publié in RDAF 2012 II 37). L'interprétation a également pour but de rectifier des fautes de rédaction, de pures fautes de calcul ou des erreurs d'écriture que le dispositif contiendrait (arrêts 1G_4/2012 du 30 avril 2012 consid. 1.1; 1G_1/2011 du 12 avril 2011 consid. 2; 5G_1/2008 du 17 novembre 2008 consid. 1.1; 4G_1/2007 du 13 septembre 2007 consid. 2.1). Néanmoins, l'interprétation peut aussi avoir pour objet les motifs de l'arrêt eux-mêmes lorsque le dispositif y renvoie et qu'ils participent de ce fait à l'ordre du juge, notamment lorsqu'il s'agit d'un arrêt de renvoi dans le sens des considérants (ELISABETH ESCHER, in Basler Kommentar, Bundesgerichtsgesetz, 2ème éd., 2011, n° 3 ad art. 129 LTF ; JEAN-FRANÇOIS POUDRET, Commentaire de la loi fédérale d'organisation judiciaire du 16 décembre 1943, Volume V, 1992, p. 80 ad art. 145 OJ ).</w:t>
      </w:r>
    </w:p>
    <w:p>
      <w:r>
        <w:rPr>
          <w:b/>
        </w:rPr>
        <w:t>E. 1.2</w:t>
      </w:r>
    </w:p>
    <w:p>
      <w:r>
        <w:t>En l'espèce, le dispositif de l'arrêt contesté est clair: le recours est admis et l'arrêt est entièrement annulé, tant en ce qui concerne la suppression de la contribution due à l'épouse que la modification de la contribution due aux enfants. Selon le dispositif, le renvoi a lieu au sens des considérants. Ceux-ci sont également clairs et la recourante, en se contentant, pour toute critique, de les recopier puis de formuler ses conclusions sous forme de paraphrase, n'explique d'ailleurs pas sur quel point, ni de quelle façon les parties ou les autorités risqueraient de comprendre la décision autrement que ce que voulait le Tribunal fédéral lorsqu'il s'est prononcé: au vu de la violation des art. 9 et 29 al. 2 Cst. , la cause est renvoyée au premier juge afin que celui-ci donne aux parties l'occasion de s'exprimer au sujet de la modification de la contribution d'entretien due aux enfants, en présentant leurs conclusions, allégués et offres de preuves. Si, cela fait, il estime devoir modifier cette contribution, il doit alors, au préalable, fixer la part de la contribution d'entretien globale de 10'000 fr. qui revenait à l'épouse et maintenir cette part en faveur de celle-ci.</w:t>
      </w:r>
    </w:p>
    <w:p>
      <w:r>
        <w:rPr>
          <w:b/>
        </w:rPr>
        <w:t>E. 2</w:t>
      </w:r>
    </w:p>
    <w:p>
      <w:r>
        <w:t>En conclusion, dès lors qu'il n'y a pas lieu à interprétation, la demande doit être rejetée. Les frais judiciaires sont mis à la charge de la requérante qui succombe ( art. 66 al. 1 LTF ). Comme l'intimé n'a pas été invité à déposer des observations devant le Tribunal fédéral, il n'y a pas lieu de lui accorder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