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9/2019 vom 20. August 2019</w:t>
      </w:r>
    </w:p>
    <w:p>
      <w:r>
        <w:t>Bundesgericht, 2019-08-20, DE</w:t>
      </w:r>
    </w:p>
    <w:p>
      <w:r>
        <w:rPr>
          <w:b/>
        </w:rPr>
        <w:t xml:space="preserve">Quelle: </w:t>
      </w:r>
      <w:r>
        <w:t>https://mcp.opencaselaw.ch/entscheid/bger_5F_9_2019</w:t>
      </w:r>
    </w:p>
    <w:p>
      <w:r>
        <w:t>FR: TF 5F 9/2019 du 20 août 2019</w:t>
      </w:r>
    </w:p>
    <w:p>
      <w:r>
        <w:t>IT: TF 5F 9/2019 del 20 agosto 2019</w:t>
      </w:r>
    </w:p>
    <w:p>
      <w:pPr>
        <w:pStyle w:val="Heading2"/>
      </w:pPr>
      <w:r>
        <w:t>Regeste</w:t>
      </w:r>
    </w:p>
    <w:p>
      <w:r>
        <w:t>Revision des bundesgerichtlichen Urteils 5A_318/2019 vom 25. April 2019 | Familienrecht</w:t>
      </w:r>
    </w:p>
    <w:p>
      <w:pPr>
        <w:pStyle w:val="Heading2"/>
      </w:pPr>
      <w:r>
        <w:t>Erwägungen</w:t>
      </w:r>
    </w:p>
    <w:p>
      <w:r>
        <w:rPr>
          <w:b/>
        </w:rPr>
        <w:t>E. 1</w:t>
      </w:r>
    </w:p>
    <w:p>
      <w:r>
        <w:t>Obwohl sich in der Eingabe vom 20. Juni 2019 keinerlei dahingehende Anhaltspunkte finden, geht das Appellationsgericht in seiner Verfügung davon aus, dass sich die Gesuchstellerinnen mit einem Revisionsgesuch an das Bundesgericht hätten wenden wollen. Wie sich aus der Kurzbegründung der Verfügung ergibt, leitet das Appellationsgericht eine angebliche Zuständigkeit des Bundesgerichtes daraus ab, dass dieses zuletzt mit dem Verfahren befasst gewesen sei. Indes gilt es zu differenzieren, wie sich aus der (auch publizierten) Rechtsprechung und den gängigen Kommentaren ergibt: Soweit gegen ein Urteil der letzten kantonalen Instanz beim Bundesgericht ein Rechtsmittel eingereicht worden ist und dieses in der Sache entschieden hat, ist dessen Urteil in Revision zu ziehen, weil es den kantonalen Entscheid ersetzt und mithin das kantonale Revisionsobjekt wegfällt, während die letzte kantonale Instanz für das Revisionsgesuch zuständig ist, wenn das Bundesgericht nicht in der Sache entschieden hat und demzufolge der kantonale Entscheid rechtskräftig geworden ist (vgl. Koordinationsnorm von Art. 125 BGG ; BGE 138 II 386 E. 6 S. 389 ff.; Urteil 8C_602/2011 vom 30. September 2011 E. 1.3; ESCHER, in: Basler Kommentar, Bundesgerichtsgesetz, 3. Aufl. 2018, N. 3; OBERHOLZER, in: Handkommentar Bundesgerichtsgesetz, 2. Aufl. 2015, N. 13 zu Art. 123 BGG ; DONZALLAZ, Loi sur le Tribunal fédéral, 2008, Rz. 4645). Dies war im Übrigen schon vor dem Inkrafttreten des Bundesgerichtsgesetzes so (vgl. damalige Koordinationsnorm von Art. 138 OG ; BGE 134 III 669 E. 2.2 S. 670 f.).</w:t>
      </w:r>
    </w:p>
    <w:p>
      <w:r>
        <w:rPr>
          <w:b/>
        </w:rPr>
        <w:t>E. 2</w:t>
      </w:r>
    </w:p>
    <w:p>
      <w:r>
        <w:t>Nach dem Gesagten kann das Bundesgericht mangels funktioneller Zuständigkeit auf die Eingabe vom 20. Juni 2019 nicht eintreten. Diese ist zur weiteren Behandlung an das Appellationsgericht zurückzusenden.</w:t>
      </w:r>
    </w:p>
    <w:p>
      <w:r>
        <w:rPr>
          <w:b/>
        </w:rPr>
        <w:t>E. 3</w:t>
      </w:r>
    </w:p>
    <w:p>
      <w:r>
        <w:t>Den Gesuchstellerinnen sind keine Kosten aufzuerlegen, da sie ihre Eingabe beim zuständigen Gericht eingereicht und auf den weiteren Verlauf keinen Einfluss hatten; dem Kanton werden in der Regel keine Kosten auferlegt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