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5F_8/2022 vom 20. April 2022</w:t>
      </w:r>
    </w:p>
    <w:p>
      <w:r>
        <w:t>Bundesgericht, 2022-04-20, DE</w:t>
      </w:r>
    </w:p>
    <w:p>
      <w:r>
        <w:rPr>
          <w:b/>
        </w:rPr>
        <w:t xml:space="preserve">Quelle: </w:t>
      </w:r>
      <w:r>
        <w:t>https://mcp.opencaselaw.ch/entscheid/bger_5F_8_2022</w:t>
      </w:r>
    </w:p>
    <w:p>
      <w:r>
        <w:t>FR: TF 5F_8/2022 du 20 avril 2022</w:t>
      </w:r>
    </w:p>
    <w:p>
      <w:r>
        <w:t>IT: TF 5F_8/2022 del 20 aprile 2022</w:t>
      </w:r>
    </w:p>
    <w:p>
      <w:pPr>
        <w:pStyle w:val="Heading2"/>
      </w:pPr>
      <w:r>
        <w:t>Erwägungen</w:t>
      </w:r>
    </w:p>
    <w:p>
      <w:r>
        <w:rPr>
          <w:b/>
        </w:rPr>
        <w:t>E. 1</w:t>
      </w:r>
    </w:p>
    <w:p>
      <w:r>
        <w:t>Die Revision eines Bundesgerichtsurteils kann nur aus einem der in Art. 121-123 BGG abschliessend genannten Gründe verlangt werden.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w:t>
      </w:r>
    </w:p>
    <w:p>
      <w:r>
        <w:rPr>
          <w:b/>
        </w:rPr>
        <w:t>E. 2</w:t>
      </w:r>
    </w:p>
    <w:p>
      <w:r>
        <w:t>Die Gesuchstellerin nennt keine Revisionsgründe und äussert sich auch thematisch nicht zu solchen. Vielmehr macht sie, soweit ihr Gesuch inhaltlich nachvollziehbar ist, Ausführungen zu Abstammungsfehlern im Familienbüchlein und zu nach ihrer Auffassung im Jahr 1997 zu viel bezahlten Erbschaftssteuern. Revisionsgründe werden damit wie gesagt nicht angesprochen und noch weniger substanziiert.</w:t>
      </w:r>
    </w:p>
    <w:p>
      <w:r>
        <w:rPr>
          <w:b/>
        </w:rPr>
        <w:t>E. 3</w:t>
      </w:r>
    </w:p>
    <w:p>
      <w:r>
        <w:t>Nach dem Gesagten ist das Revisionsgesuch abzuweisen, soweit überhaupt darauf einzutreten ist, und 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