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5/2016 vom 2. Mai 2016</w:t>
      </w:r>
    </w:p>
    <w:p>
      <w:r>
        <w:t>Bundesgericht, 2016-05-02, DE</w:t>
      </w:r>
    </w:p>
    <w:p>
      <w:r>
        <w:rPr>
          <w:b/>
        </w:rPr>
        <w:t xml:space="preserve">Quelle: </w:t>
      </w:r>
      <w:r>
        <w:t>https://mcp.opencaselaw.ch/entscheid/bger_5F_5_2016</w:t>
      </w:r>
    </w:p>
    <w:p>
      <w:r>
        <w:t>FR: TF 5F 5/2016 du 2 mai 2016</w:t>
      </w:r>
    </w:p>
    <w:p>
      <w:r>
        <w:t>IT: TF 5F 5/2016 del 2 maggio 2016</w:t>
      </w:r>
    </w:p>
    <w:p>
      <w:pPr>
        <w:pStyle w:val="Heading2"/>
      </w:pPr>
      <w:r>
        <w:t>Regeste</w:t>
      </w:r>
    </w:p>
    <w:p>
      <w:r>
        <w:t>Revision des bundesgerichtlichen Urteils 5A_661/2015 vom 2. Dezember 2015 | Familienrecht</w:t>
      </w:r>
    </w:p>
    <w:p>
      <w:pPr>
        <w:pStyle w:val="Heading2"/>
      </w:pPr>
      <w:r>
        <w:t>Erwägungen</w:t>
      </w:r>
    </w:p>
    <w:p>
      <w:r>
        <w:rPr>
          <w:b/>
        </w:rPr>
        <w:t>E. 1</w:t>
      </w:r>
    </w:p>
    <w:p>
      <w:r>
        <w:t>Vorliegend kann offenbleiben, ob das Revisionsgesuch binnen der Fristen von Art. 124 BGG eingereicht worden ist, zumal es sich bereits aus einem anderen Grund als unzulässig erweist:</w:t>
      </w:r>
    </w:p>
    <w:p>
      <w:r>
        <w:rPr>
          <w:b/>
        </w:rPr>
        <w:t>E. 1.1</w:t>
      </w:r>
    </w:p>
    <w:p>
      <w:r>
        <w:t>Die Revision eines Bundesgerichtsurteils kann nur aus einem der im Gesetz abschliessend genannten Gründe verlangt werden (Art. 121 bis Art. 123 BGG ). Auch für die Revision gelten die in Art. 42 Abs. 1 und 2 BGG genannten Anforderungen; die Begehren sind zu begründen, d.h., es ist in gedrängter Form darzulegen, inwiefern der angefochtene Akt Recht verletzt (Urteil 5F_8/2013 vom 24. April 2013 E. 1.2; 5F_3/2011 vom 4. Mai 2011 E. 1.2; 5F_10/2012 vom 25. März 2013 E. 1.1). Insbesondere kann die Revision nicht dazu dienen, eine Wiedererwägung des strittigen bundesgerichtlichen Entscheides zu verlangen (so namentlich das Urteil 5F_19/2014 vom 14. Januar 2015 E. 3).</w:t>
      </w:r>
    </w:p>
    <w:p>
      <w:r>
        <w:rPr>
          <w:b/>
        </w:rPr>
        <w:t>E. 1.2</w:t>
      </w:r>
    </w:p>
    <w:p>
      <w:r>
        <w:t>Der Beschwerdeführer setzt sich in seinem Gesuch nicht mit den Erwägungen des bundesgerichtlichen Urteils auseinander und nennt keinen Revisionsgrund. Erst recht legt er nicht substanziiert dar, inwiefern das bundesgerichtliche Urteil im Lichte der gesetzlichen Gründe Anlass zur Revision geben könnte. Auf das offensichtlich nicht rechtsgenügend begründete Revisionsgesuch ( Art. 42 Abs. 2 BGG ) ist daher nicht einzutreten.</w:t>
      </w:r>
    </w:p>
    <w:p>
      <w:r>
        <w:rPr>
          <w:b/>
        </w:rPr>
        <w:t>E. 2</w:t>
      </w:r>
    </w:p>
    <w:p>
      <w:r>
        <w:t>Dem Ausgang des Verfahrens entsprechend sind die Gerichtskosten von Fr. 1'000.-- dem Gesuchsteller aufzuerlegen ( Art. 66 Abs. 1 BGG ). Eine Entschädigung ist nicht geschuldet, zumal die Gesuchsgegnerin nicht zur Vernehmlassung eingeladen worden ist.</w:t>
      </w:r>
    </w:p>
    <w:p>
      <w:r>
        <w:rPr>
          <w:b/>
        </w:rPr>
        <w:t>E. 3</w:t>
      </w:r>
    </w:p>
    <w:p>
      <w:r>
        <w:t>Wie die bisherigen Ausführungen zeigen, hat sich das Revisionsgesuch als von Anfang an aussichtslos erwiesen. Fehlt es somit an einer der materiellen Voraussetzungen für die Gewährung der unentgeltlichen Rechtspflege, ist das entsprechende Gesuch des Gesuchstellers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