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5F_5/2007 vom 11. Oktober 2007</w:t>
      </w:r>
    </w:p>
    <w:p>
      <w:r>
        <w:t>Bundesgericht, 2007-10-11, FR</w:t>
      </w:r>
    </w:p>
    <w:p>
      <w:r>
        <w:rPr>
          <w:b/>
        </w:rPr>
        <w:t xml:space="preserve">Quelle: </w:t>
      </w:r>
      <w:r>
        <w:t>https://mcp.opencaselaw.ch/entscheid/bger_5F_5_2007</w:t>
      </w:r>
    </w:p>
    <w:p>
      <w:r>
        <w:t>FR: TF 5F_5/2007 du 11 octobre 2007</w:t>
      </w:r>
    </w:p>
    <w:p>
      <w:r>
        <w:t>IT: TF 5F_5/2007 del 11 ottobre 2007</w:t>
      </w:r>
    </w:p>
    <w:p>
      <w:pPr>
        <w:pStyle w:val="Heading2"/>
      </w:pPr>
      <w:r>
        <w:t>Erwägungen</w:t>
      </w:r>
    </w:p>
    <w:p>
      <w:r>
        <w:rPr>
          <w:b/>
        </w:rPr>
        <w:t>E. 1</w:t>
      </w:r>
    </w:p>
    <w:p>
      <w:r>
        <w:t>La demande de révision ayant été introduite après l'entrée en vigueur, le 1er janvier 2007 (RO 2006 1242), de la loi du 17 juin 2005 sur le Tribunal fédéral (LTF; RS 173.110), la procédure est régie par le nouveau droit ( art. 132 al. 1 LTF ; arrêt 6F_1/2007 du 9 mai 2007, consid. 1.2, non publié aux ATF 133 IV 142 ).</w:t>
      </w:r>
    </w:p>
    <w:p>
      <w:r>
        <w:rPr>
          <w:b/>
        </w:rPr>
        <w:t>E. 2.1</w:t>
      </w:r>
    </w:p>
    <w:p>
      <w:r>
        <w:t>La jurisprudence rendue à propos de l' art. 137 let. b OJ a apporté d'importantes restrictions à la recevabilité de la demande de révision pour faits et moyens de preuve nouveaux des arrêts du Tribunal fédéral rendus sur recours de droit public ( ATF 118 Ia 366 consid. 2; 107 Ia 187 consid. 2). Cette jurisprudence garde toute sa portée sous le nouveau droit, l' art. 123 al. 2 let. a LTF ayant repris la règle consacrée à l' art. 137 let. b OJ , sans la modifier autrement que par des précisions d'ordre rédactionnel relatives à la notion de "faits nouveaux" (FF 2001, p. 4149; arrêt 4F_3/2007 du 27 juin 2007, consid. 3.1).</w:t>
      </w:r>
    </w:p>
    <w:p>
      <w:r>
        <w:t>1 A cet égard, les requérantes se réfèrent en particulier à l'arrêt paru aux ATF 107 Ia 187 ; elles prétendent que leur demande de révision est recevable du fait que, dans son arrêt du 25 mai 2005, le Tribunal fédéral aurait pu admettre des faits et moyens de preuve nouveaux en relation avec les nouveaux moyens de droit tirés des art. 26 et 29 Cst.</w:t>
      </w:r>
    </w:p>
    <w:p>
      <w:r>
        <w:rPr>
          <w:b/>
        </w:rPr>
        <w:t>E. 2.2</w:t>
      </w:r>
    </w:p>
    <w:p>
      <w:r>
        <w:t>Dans un arrêt postérieur, le Tribunal fédéral a toutefois précisé cette jurisprudence, en ce sens que la recevabilité ou l'irrecevabilité des nova dans l'arrêt dont la révision est demandée n'est pas le critère décisif, ou du moins pas le seul, pour décider de la recevabilité de la demande de révision d'un arrêt du Tribunal fédéral. Il a considéré en particulier que, lorsque - comme en l'espèce - le Tribunal fédéral rejette un recours de droit public, son arrêt ne se substitue pas à la décision attaquée, laquelle demeure en force et peut dès lors faire l'objet d'une demande de révision, aux conditions du droit de procédure cantonal, pour les motifs qui affectent l'état de fait qu'elle constate; en effet, selon un principe général, la demande de révision, sur le fond, doit être formée devant l'autorité qui, en dernière instance, a statué au fond. Or, lorsque l'autorité s'est prononcée à l'occasion d'un recours extraordinaire - à l'instar du recours de droit public -, la demande de révision n'est recevable que pour les motifs qui affectent son arrêt ( ATF 118 Ia 366 consid. 2 p. 367/368 et les références; arrêt non publié 5P.510/2006 du 6 février 2007, consid. 3.1 et 3.2; également, à propos du pourvoi en nullité: ATF 124 IV 92 consid. 1). La demande de révision d'un tel arrêt en raison de la découverte de faits pertinents ou de moyens de preuve concluants qui n'avaient pas pu être invoqués dans la procédure précédente ( art. 123 al. 2 let. a LTF ) n'est donc recevable que dans la mesure où le motif invoqué affecte les constatations de fait du Tribunal fédéral, en particulier au sujet de la recevabilité du recours ou lorsque celui-ci a tenu compte de faits ou moyens de preuve nouveaux à l'appui de son recours (Poudret, Commentaire de la loi fédérale d'organisation judiciaire, vol. V, n. 2.2 ad Titre VII et n. 2.1 ad art. 137 OJ ), ce qui n'est possible qu'exceptionnellement pour le recours de droit public (cf. ATF 128 I 354 consid. 6c p. 357; 107 Ia 187 consid. 2b p. 191).</w:t>
      </w:r>
    </w:p>
    <w:p>
      <w:r>
        <w:rPr>
          <w:b/>
        </w:rPr>
        <w:t>E. 2.3</w:t>
      </w:r>
    </w:p>
    <w:p>
      <w:r>
        <w:t>En l'espèce, les motifs de l'arrêt dont la révision est demandée ont trait à l'application arbitraire des règles de procédure cantonale relatives à l'exécution forcée (consid. 3 et 4), à la violation du droit d'être entendu s'agissant de la portée de la procédure cantonale, à l'interdiction de statuer extra petita (consid. 5), ainsi qu'à la sécurité du droit à propos du manque de précision du dispositif de l'arrêt cantonal (consid. 6). Pour aucun de ces motifs, le Tribunal fédéral n'a tenu compte de faits ou moyens de preuve nouveaux; même s'il avait pu le faire, le moyen de révision invoqué - l'expertise médicale relative à la capacité de discernement de U.________ - ne concerne aucun des griefs soulevés dans le recours de droit public, et ne peut donc affecter les motifs de l'arrêt rendu sur ce recours. La demande de révision est ainsi irrecevable, seul l'arrêt cantonal sur le fond, demeuré en force, étant susceptible de révision, selon les conditions posées par le droit de procédure cantonal.</w:t>
      </w:r>
    </w:p>
    <w:p>
      <w:r>
        <w:rPr>
          <w:b/>
        </w:rPr>
        <w:t>E. 2.4</w:t>
      </w:r>
    </w:p>
    <w:p>
      <w:r>
        <w:t>L'irrecevabilité de la demande étant ainsi établie, la question de l'existence d'un intérêt actuel des requérantes à obtenir la révision peut demeurer ouverte.</w:t>
      </w:r>
    </w:p>
    <w:p>
      <w:r>
        <w:rPr>
          <w:b/>
        </w:rPr>
        <w:t>E. 3</w:t>
      </w:r>
    </w:p>
    <w:p>
      <w:r>
        <w:t>Eu égard au considérant 4 de l'arrêt du Tribunal fédéral du 7 novembre 2006 (4C.111/2006), les frais de justice ne seront pas mis à la charge des requérantes (art. 66 al. 1 in fine LTF). Il se justifie également de leur allouer des dépens, de même qu'à l'opposante, qui a conclu à l'irrecevabilité de la demande. Ces dépens seront supportés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