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5F_51/2025 vom 1. Oktober 2025</w:t>
      </w:r>
    </w:p>
    <w:p>
      <w:r>
        <w:t>Bundesgericht, 2025-10-01, DE</w:t>
      </w:r>
    </w:p>
    <w:p>
      <w:r>
        <w:rPr>
          <w:b/>
        </w:rPr>
        <w:t xml:space="preserve">Quelle: </w:t>
      </w:r>
      <w:r>
        <w:t>https://mcp.opencaselaw.ch/entscheid/bger_5F_51_2025</w:t>
      </w:r>
    </w:p>
    <w:p>
      <w:r>
        <w:t>FR: TF 5F_51/2025 du 1 octobre 2025</w:t>
      </w:r>
    </w:p>
    <w:p>
      <w:r>
        <w:t>IT: TF 5F_51/2025 del 1 ottobre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Dabei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Der Gesuchsteller nennt die Revisionsgründe von Art. 121 lit. a, c und d BGG . Indes beschränkt er sich zur Begründung auf unwahre Behauptungen:</w:t>
      </w:r>
    </w:p>
    <w:p>
      <w:r>
        <w:t>Im Zusammenhang mit den Revisionsgründen von lit. c und d macht er geltend, das Bundesgericht habe bei der Kostenauferlegung im Urteil 5A_731/2025 sein Gesuch um unentgeltliche Rechtspflege übersehen. Indes wurde im Beschwerdeverfahren 5A_731/2025 - im Unterschied zum bei der I. zivilrechtlichen Abteilung hängigen Beschwerdeverfahren 4D_160/2025 betreffend Rechtsöffnung für Gerichtskosten - kein Gesuch um unentgeltliche Rechtspflege gestellt und ohnehin hätte ein solches wegen seinerzeitiger Aussichtslosigkeit des Beschwerdeverfahrens 5A_731/2025 abgewiesen werden müssen.</w:t>
      </w:r>
    </w:p>
    <w:p>
      <w:r>
        <w:t>Hinsichtlich des Revisionsgrundes von lit. a ist der Gesuchsteller der Ansicht, der Präsident der II. zivilrechtlichen Abteilung sei zufolge einer wegen systematischen Nichteintretens eingereichten Aufsichtsanzeige vom 9. September 2025 - welcher das Generalsekretariat des Bundesgerichts mit Schreiben vom 17. September 2025 keine Folge gab - befangen gewesen. Indes ist ein Richter nicht allein deshalb befangen, weil er in früheren Verfahren zwischen den gleichen Parteien geurteilt hat (vgl. Art. 34 Abs. 2 BGG ; BGE 129 III 445 E. 4.2.2.2; 143 IV 69 E. 3.1), und auf offensichtlich nicht hinreichend begründete Beschwerden kann zwangsläufig nicht eingetreten werden (vgl. Art. 108 Abs. 1 lit. b BGG ), was für sich genommen ebenfalls keinen Ausstand begründet.</w:t>
      </w:r>
    </w:p>
    <w:p>
      <w:r>
        <w:t>Ferner kann - was mit Blick auf allfällige zukünftige Eingaben bereits an dieser Stelle festgehalten sei, obwohl vorliegend kein Ausstandsgesuch gestellt wird - das abgelehnte Gerichtsmitglied nach ständiger bundesgerichtlicher Rechtsprechung bei einer im Sachentscheid integrierten Beurteilung des Ausstandsbegehrens mitwirken (Urteile 2F_12/2008 vom 4. Dezember 2008 E. 2.1; 1C_443/2015 vom 23. Februar 2016 E. 1; 2C_590/2016 vom 23. August 2016 E. 2.4; 1B_491/2016 vom 24. März 2017 E. 1.2.2; 1C_187/2017 vom 20. März 2018 E. 4.2;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 Mithin ergibt sich kein Ausstandsgrund daraus, dass der Abteilungspräsident auch am vorliegenden Urteil mitwirkt.</w:t>
      </w:r>
    </w:p>
    <w:p>
      <w:r>
        <w:rPr>
          <w:b/>
        </w:rPr>
        <w:t>E. 3</w:t>
      </w:r>
    </w:p>
    <w:p>
      <w:r>
        <w:t>Nach dem Gesagten ist das Revisionsgesuch abzuweisen, soweit darauf einzutreten ist. Wie die vorstehenden Erwägungen ausserdem zeigen, konnte dem Revisionsgesuch von Anfang an kein Erfolg beschieden sein, weshalb es an den materiellen Voraussetzungen der unentgeltlichen Rechtspflege fehlt ( Art. 64 Abs. 1 BGG ) und das - im Revisionsverfahren anders als im Beschwerdeverfahren tatsächlich gestellte - Gesuch abzuweisen ist.</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