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5F_4/2018 vom 19. Februar 2018</w:t>
      </w:r>
    </w:p>
    <w:p>
      <w:r>
        <w:t>Bundesgericht, 2018-02-19, DE</w:t>
      </w:r>
    </w:p>
    <w:p>
      <w:r>
        <w:rPr>
          <w:b/>
        </w:rPr>
        <w:t xml:space="preserve">Quelle: </w:t>
      </w:r>
      <w:r>
        <w:t>https://mcp.opencaselaw.ch/entscheid/bger_5F_4_2018</w:t>
      </w:r>
    </w:p>
    <w:p>
      <w:r>
        <w:t>FR: TF 5F_4/2018 du 19 février 2018</w:t>
      </w:r>
    </w:p>
    <w:p>
      <w:r>
        <w:t>IT: TF 5F_4/2018 del 19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Soweit sich die Eingabe gegen bundesgerichtliche Urteile richtet, namentlich gegen das Urteil 5A_449/2017, ist sie sinngemäss als Revisionsgesuch zu interpretieren. Indes werden keinerlei Revisionsgründe geltend gemacht, geschweige denn substanziiert, weshalb es an den Eintretensvoraussetzungen fehlt (vgl. Art. 42 Abs. 2 und Art. 121 ff. BGG ).</w:t>
      </w:r>
    </w:p>
    <w:p>
      <w:r>
        <w:rPr>
          <w:b/>
        </w:rPr>
        <w:t>E. 2</w:t>
      </w:r>
    </w:p>
    <w:p>
      <w:r>
        <w:t>Soweit die Feststellung widerrechtlicher Handlungen seitens kantonaler Organe verlangt wird, hat die Eingabe aufsichtsrechtlichen Charakter. Indes hat das Bundesgericht bezüglich kantonaler Instanzen und Organe weder Aufsichts- noch Weisungskompetenzen, so dass es auch insoweit an den Eintretensvoraussetzungen mangelt.</w:t>
      </w:r>
    </w:p>
    <w:p>
      <w:r>
        <w:rPr>
          <w:b/>
        </w:rPr>
        <w:t>E. 3</w:t>
      </w:r>
    </w:p>
    <w:p>
      <w:r>
        <w:t>Im Übrigen ist die Eingabe als Beschwerde aufzufassen.</w:t>
      </w:r>
    </w:p>
    <w:p>
      <w:r>
        <w:t>Soweit sie sich gegen anderes als Entscheide oberster kantonaler Instanzen richtet, mangelt es wegen fehlender Ausschöpfung des Instanzenzuges an den Eintretensvoraussetzungen (vgl. Art. 75 Abs. 1 BGG ).</w:t>
      </w:r>
    </w:p>
    <w:p>
      <w:r>
        <w:t>Soweit sie sich gegen die Entscheide des Kantonsgerichts vom 8. Juni und 8. August 2017 richtet, handelt es sich um diejenigen, welche den bundesgerichtlichen Urteilen 5A_449/2017 und 5A_81/2018 zugrunde lagen. Diese beiden Urteile sind rechtskräftig ( Art. 61 BGG ) und die kantonalen Ausgangsentscheidungen können nicht ein halbes Jahr nach Ablauf der 30-tägigen Beschwerdefrist ( Art. 100 Abs. 1 BGG ) erneut in Frage gestellt werden. Zulässig wären einzig hinreichend substanziierte Revisionsbegehren in Bezug auf die Bundesgerichtsurteile (dazu E. 1).</w:t>
      </w:r>
    </w:p>
    <w:p>
      <w:r>
        <w:rPr>
          <w:b/>
        </w:rPr>
        <w:t>E. 4</w:t>
      </w:r>
    </w:p>
    <w:p>
      <w:r>
        <w:t>Zusammenfassend ergibt sich, dass auf die Eingabe insgesamt nicht eingetreten werden kann. Die Gerichtskosten sind bei diesem Verfahrensausgang dem Gesuchsteller/Beschwerdeführer aufzuerlegen ( Art. 66 Abs. 1 BGG ).</w:t>
      </w:r>
    </w:p>
    <w:p>
      <w:r>
        <w:rPr>
          <w:b/>
        </w:rPr>
        <w:t>E. 5</w:t>
      </w:r>
    </w:p>
    <w:p>
      <w:r>
        <w:t>Schliesslich sei der Gesuchsteller/Beschwerdeführer darauf hingewiesen, dass sich das Bundesgericht angesichts seiner notorisch querulatorischen Beschwerdeführung vorbehält, Eingaben ähnlicher Art fortan unbeantwortet abzulegen.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