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5F_33/2022 vom 29. November 2022</w:t>
      </w:r>
    </w:p>
    <w:p>
      <w:r>
        <w:t>Bundesgericht, 2022-11-29, DE</w:t>
      </w:r>
    </w:p>
    <w:p>
      <w:r>
        <w:rPr>
          <w:b/>
        </w:rPr>
        <w:t xml:space="preserve">Quelle: </w:t>
      </w:r>
      <w:r>
        <w:t>https://mcp.opencaselaw.ch/entscheid/bger_5F_33_2022</w:t>
      </w:r>
    </w:p>
    <w:p>
      <w:r>
        <w:t>FR: TF 5F_33/2022 du 29 novembre 2022</w:t>
      </w:r>
    </w:p>
    <w:p>
      <w:r>
        <w:t>IT: TF 5F_33/2022 del 29 novembre 2022</w:t>
      </w:r>
    </w:p>
    <w:p>
      <w:pPr>
        <w:pStyle w:val="Heading2"/>
      </w:pPr>
      <w:r>
        <w:t>Erwägungen</w:t>
      </w:r>
    </w:p>
    <w:p>
      <w:r>
        <w:rPr>
          <w:b/>
        </w:rPr>
        <w:t>E. 1</w:t>
      </w:r>
    </w:p>
    <w:p>
      <w:r>
        <w:t>Urteile des Bundesgerichts erwachsen mit ihrer Ausfällung sofort in Rechtskraft ( Art. 61 BGG ). Eine Beschwerde oder ein anderes Rechtsmittel in der Sache selbst besteht nicht.</w:t>
      </w:r>
    </w:p>
    <w:p>
      <w:r>
        <w:rPr>
          <w:b/>
        </w:rPr>
        <w:t>E. 2</w:t>
      </w:r>
    </w:p>
    <w:p>
      <w:r>
        <w:t>Das Bundesgericht kann indes dann ausnahmsweise auf seine Urteile zurückkommen, wenn einer der in Art. 121 ff. BGG abschliessend aufgeführten Revisionsgründe vorliegt. Allfällige Revisionsgründe sind im Revisionsgesuch in gedrängter Form darzulegen ( Art. 42 Abs. 2 BGG ; letztmals Urteile 6F_29/2022 vom 24. Oktober 2022 E. 2; 2F_29/2022 vom 8. September 2022 E. 2; 8F_6/2022 vom 5. September 2022 E. 2).</w:t>
      </w:r>
    </w:p>
    <w:p>
      <w:r>
        <w:t>Die in der nunmehr erfolgten Eingabe enthaltene Formulierung, wonach das Bundesgericht sein Urteil nach Massgabe der gesetzlichen Bestimmungen aufzuheben oder abzuändern habe, macht deutlich, dass die Gesuchstellerin dieses unbedingt überprüft haben möchte, und lässt sich nicht anders verstehen, als dass sie sinngemäss dessen Revision verlangt.</w:t>
      </w:r>
    </w:p>
    <w:p>
      <w:r>
        <w:rPr>
          <w:b/>
        </w:rPr>
        <w:t>E. 3</w:t>
      </w:r>
    </w:p>
    <w:p>
      <w:r>
        <w:t>Weil sich das Revisionsgesuch gegen ein Nichteintretensurteil richtet, muss der Revisionsgrund die Nichteintretensmotive beschlagen. Die Revision dient nicht der Korrektur einer angeblich unrichtigen rechtlichen Würdigung oder Rechtsauffassung des Bundesgerichts. Sie eröffnet insbesondere nicht die Möglichkeit, die Rechtslage erneut zu diskutieren und eine Wiedererwägung des bundesgerichtlichen Urteils zu verlangen (6F_29/2022 vom 24. Oktober 2022 E. 2; 2F_29/2022 vom 8. September 2022 E. 2; 8F_6/2022 vom 5. September 2022 E. 2).</w:t>
      </w:r>
    </w:p>
    <w:p>
      <w:r>
        <w:rPr>
          <w:b/>
        </w:rPr>
        <w:t>E. 4</w:t>
      </w:r>
    </w:p>
    <w:p>
      <w:r>
        <w:t>Die Gesuchstellerin nennt keine Revisionsgründe und es sind auch keine ersichtlich. Sie macht geltend, seit Jahren willkürlichem Behördenterror ausgeliefert zu sein; ihre Wohnung sei für Behörden tabu, alle falschen Einträge im Betreibungsregister und Grundbuch seien zu löschen, das Bundesgericht habe ihren Rechtsstreit mit dem Willensvollstrecker sowie den enormen Schaden zu regeln und das Obergericht dürfe keine Vorschüsse in abgeschlossenen Verfahren verlangen. All dies geht an der Sache und insbesondere an möglichen Revisionstatbeständen vorbei und das Revisionsgesuch bleibt gänzlich unbegründet, weshalb darauf nicht eingetreten werden kann.</w:t>
      </w:r>
    </w:p>
    <w:p>
      <w:r>
        <w:rPr>
          <w:b/>
        </w:rPr>
        <w:t>E. 5</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