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5F_30/2023 vom 21. Dezember 2023</w:t>
      </w:r>
    </w:p>
    <w:p>
      <w:r>
        <w:t>Bundesgericht, 2023-12-21, DE</w:t>
      </w:r>
    </w:p>
    <w:p>
      <w:r>
        <w:rPr>
          <w:b/>
        </w:rPr>
        <w:t xml:space="preserve">Quelle: </w:t>
      </w:r>
      <w:r>
        <w:t>https://mcp.opencaselaw.ch/entscheid/bger_5F_30_2023</w:t>
      </w:r>
    </w:p>
    <w:p>
      <w:r>
        <w:t>FR: TF 5F_30/2023 du 21 décembre 2023</w:t>
      </w:r>
    </w:p>
    <w:p>
      <w:r>
        <w:t>IT: TF 5F_30/2023 del 21 dicembre 2023</w:t>
      </w:r>
    </w:p>
    <w:p>
      <w:pPr>
        <w:pStyle w:val="Heading2"/>
      </w:pPr>
      <w:r>
        <w:t>Erwägungen</w:t>
      </w:r>
    </w:p>
    <w:p>
      <w:r>
        <w:rPr>
          <w:b/>
        </w:rPr>
        <w:t>E. 1</w:t>
      </w:r>
    </w:p>
    <w:p>
      <w:r>
        <w:t>In Bezug auf das bundesgerichtliche Verfahren begründet der Gesuchsteller seine Ausstandsbegehren nicht. Im Übrigen stellt die Mitwirkung in einem früheren Verfahren für sich genommen keinen Ausstandsgrund dar ( Art. 34 Abs. 2 BGG ). Auf die betreffenden Anträge ist mithin nicht einzutreten. Soweit keine anderen Ausstandsgründe geltend gemacht werden, können der abgelehnte Richter (vorliegend Abteilungspräsident) und der abgelehnte Gerichtsschreiber wiederum mitwirken ( BGE 129 III 334 E. 4.2.2.2; 143 IV 69 E. 3.1), was insbesondere auch für das Revisionsverfahren gilt, weil am Revisionsurteil grundsätzlich die gleiche Besetzung mitwirkt (Urteile 2F_20/2012 vom 25. September 2012 E. 1.2.2; 6F_39/2018 vom 22. Januar 2019 E. 3; 6F_20/2020 vom 27. August 2020 E. 3; 6F_6/2023 vom 6. Juli 2023 E. 1.2; 6F_28/2023 vom 29. August 2023 E. 2.2).</w:t>
      </w:r>
    </w:p>
    <w:p>
      <w:r>
        <w:rPr>
          <w:b/>
        </w:rPr>
        <w:t>E. 2</w:t>
      </w:r>
    </w:p>
    <w:p>
      <w:r>
        <w:t>Die Revision eines Bundesgerichtsurteils kann nur aus einem in Art. 121 ff. BGG abschliessend genannten Revisionsgrund verlangt werden, wobei dieser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3</w:t>
      </w:r>
    </w:p>
    <w:p>
      <w:r>
        <w:t>Der Gesuchsteller äussert sich auch vorliegend weitschweifig mit einem unzusammenhängenden Konglomerat von Urteils-, Literatur- und Gesetzeszitaten zu allerlei erb- und prozessrechtlichen Dingen; ausserdem behauptet er die Nichtigkeit aller Entscheide und erhebt mannigfache strafrechtliche Vorwürfe gegenüber den Gerichtspersonen der bisherigen Verfahren. Jedoch werden nirgends konkrete Revisionsgründe genannt und der Gesuchsteller führt - abgesehen von den aus der Luft gegriffenen Vorwürfen schwerer Kriminalität gegenüber den involvierten Gerichtspersonen, was sinngemäss auf den Revisionsgrund von Art. 123 Abs. 1 BGG zielen würde - auch inhaltlich nichts aus, was auf einen Revisionsgrund schliessen lassen könnte.</w:t>
      </w:r>
    </w:p>
    <w:p>
      <w:r>
        <w:rPr>
          <w:b/>
        </w:rPr>
        <w:t>E. 4</w:t>
      </w:r>
    </w:p>
    <w:p>
      <w:r>
        <w:t>Nach dem Gesagten ist auf das Revisionsgesuch nicht einzutreten. Wie die vorstehenden Erwägungen zeigen, konnte ihm von Anfang an kein Erfolg beschieden sein, weshalb es an den materiellen Voraussetzungen der unentgeltlichen Rechtspflege fehlt ( Art. 64 Abs. 1 BGG ) und das entsprechende Gesuch abzuweisen ist.</w:t>
      </w:r>
    </w:p>
    <w:p>
      <w:r>
        <w:rPr>
          <w:b/>
        </w:rPr>
        <w:t>E. 5</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