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5F_2/2023 vom 8. März 2023</w:t>
      </w:r>
    </w:p>
    <w:p>
      <w:r>
        <w:t>Bundesgericht, 2023-03-08, DE</w:t>
      </w:r>
    </w:p>
    <w:p>
      <w:r>
        <w:rPr>
          <w:b/>
        </w:rPr>
        <w:t xml:space="preserve">Quelle: </w:t>
      </w:r>
      <w:r>
        <w:t>https://mcp.opencaselaw.ch/entscheid/bger_5F_2_2023</w:t>
      </w:r>
    </w:p>
    <w:p>
      <w:r>
        <w:t>FR: TF 5F_2/2023 du 8 mars 2023</w:t>
      </w:r>
    </w:p>
    <w:p>
      <w:r>
        <w:t>IT: TF 5F_2/2023 del 8 marzo 2023</w:t>
      </w:r>
    </w:p>
    <w:p>
      <w:pPr>
        <w:pStyle w:val="Heading2"/>
      </w:pPr>
      <w:r>
        <w:t>Erwägungen</w:t>
      </w:r>
    </w:p>
    <w:p>
      <w:r>
        <w:rPr>
          <w:b/>
        </w:rPr>
        <w:t>E. 1</w:t>
      </w:r>
    </w:p>
    <w:p>
      <w:r>
        <w:t>Mit Entscheid vom 5. Oktober 2021 erteilte das Zivilgericht Basel-Stadt dem Kanton Basel-Stadt gegenüber A.________ in der Betreibung Nr. xxx des Betreibungsamtes Basel-Stadt - für Grundstückgewinnsteuern - die definitive Rechtsöffnung für 67'140.-- nebst Zinsen und Gebühren. Das Appellationsgericht des Kantons Basel-Stadt wies die dagegen von A.________ erhobene Beschwerde mit Entscheid vom 9. Februar 2022 ab. Mit Urteil 5A_192/2022 vom 25. März 2022 trat das Bundesgericht auf die dagegen von A.________ erhobene Beschwerde im vereinfachten Verfahren gestützt auf Art. 108 Abs. 1 lit. b BGG nicht ein.</w:t>
      </w:r>
    </w:p>
    <w:p>
      <w:r>
        <w:t>Dagegen erhob A.________ am 8. April 2022 ein Revisionsgesuch. Mit Urteil 5F_8/2022 vom 20. April 2022 wies das Bundesgericht das Revisionsgesuch ab, soweit es darauf eintrat.</w:t>
      </w:r>
    </w:p>
    <w:p>
      <w:r>
        <w:t>Mit Eingabe vom 10. Februar 2023 (Postaufgabe 11. Februar 2023) hat A.________ (fortan: Gesuchstellerin) ein Revisionsgesuch gegen das Urteil vom 20. April 2022 eingereicht. Am 14. Februar 2023 (Postaufgabe 17. Februar 2023), 22. Februar 2023 (Postaufgabe 23. Februar 2023) und 26. Februar 2023 (Postaufgabe 1. März 2023) hat sie das Revisionsgesuch ergänzt.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auf Art. 123 Abs. 2 lit. a BGG . Sie habe im Internet per Zufall ein Merkblatt des Bundesamtes für Justiz über Zivilstandsdokumente im Erbschaftsfall vom April 2010 entdeckt.</w:t>
      </w:r>
    </w:p>
    <w:p>
      <w:r>
        <w:t>Im Urteil 5F_8/2022 vom 20. April 2022 hat das Bundesgericht der Gesuchstellerin vorgehalten, keine Revisionsgründe genannt und sich thematisch nicht zu solchen geäussert zu haben. Stattdessen habe sie sich zu Fehlern im Familienbüchlein und zu angeblich zu viel bezahlten Erbschaftssteuern geäussert (a.a.O. E. 2). Die Gesuchstellerin legt nicht dar, inwiefern das angeblich neu entdeckte Dokument einen Einfluss auf diese Beurteilung haben könnte ( Art. 123 Abs. 2 lit. a BGG ). Sie setzt offensichtlich bloss ihre als ungenügend erachteten Ausführungen zu einer Zivilstands- und Erbschaftssache fort (vgl. Urteil 5A_192/2022 vom 25. März 2022 E. 4). Dazu dient die Revision nicht.</w:t>
      </w:r>
    </w:p>
    <w:p>
      <w:r>
        <w:t>Auf das Revisionsgesuch kann damit nicht eingetreten werden.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