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5F_2/2014 vom 4. Februar 2014</w:t>
      </w:r>
    </w:p>
    <w:p>
      <w:r>
        <w:t>Bundesgericht, 2014-02-04, DE</w:t>
      </w:r>
    </w:p>
    <w:p>
      <w:r>
        <w:rPr>
          <w:b/>
        </w:rPr>
        <w:t xml:space="preserve">Quelle: </w:t>
      </w:r>
      <w:r>
        <w:t>https://mcp.opencaselaw.ch/entscheid/bger_5F_2_2014</w:t>
      </w:r>
    </w:p>
    <w:p>
      <w:r>
        <w:t>FR: TF 5F_2/2014 du 4 février 2014</w:t>
      </w:r>
    </w:p>
    <w:p>
      <w:r>
        <w:t>IT: TF 5F_2/2014 del 4 febbraio 2014</w:t>
      </w:r>
    </w:p>
    <w:p>
      <w:pPr>
        <w:pStyle w:val="Heading2"/>
      </w:pPr>
      <w:r>
        <w:t>Erwägungen</w:t>
      </w:r>
    </w:p>
    <w:p>
      <w:r>
        <w:rPr>
          <w:b/>
        </w:rPr>
        <w:t>E. 1</w:t>
      </w:r>
    </w:p>
    <w:p>
      <w:r>
        <w:t>Die Revision eines Bundesgerichtsurteils kann nur aus einem der im Gesetz abschliessend genannten Gründe verlangt werden (Art. 121 bis Art. 123 BGG ). Auch für die Revision gelten die in Art. 42 Abs. 1 und 2 BGG genannten Anforderungen; die Begehren sind zu begründen, d.h., es ist in gedrängter Form darzulegen, inwiefern der angefochtene Akt Recht verletzt (Urteil 5F_8/2013 vom 24. April 2013 E. 1.2; 5F_3/2011 vom 4. Mai 2011 E. 1.2; 5F_10/2012 vom 25. März 2013 E. 1.1). Diesen Anforderungen vermag das appellatorische Revisionsgesuch im Grossen und Ganzen nicht zu entsprechen.</w:t>
      </w:r>
    </w:p>
    <w:p>
      <w:r>
        <w:rPr>
          <w:b/>
        </w:rPr>
        <w:t>E. 2.1</w:t>
      </w:r>
    </w:p>
    <w:p>
      <w:r>
        <w:t>Der Gesuchsteller beruft sich zunächst auf den Revisionsgrund gemäss Art. 121 lit. b BGG . Danach kann die Revision des bundesgerichtlichen Urteils verlangt werden, wenn das Bundesgericht einer Partei mehr oder, ohne dass es das Gesetz erlaubt, anderes zugesprochen hat, als sie selbst verlangt hat, oder weniger als die Gegenpartei anerkannt hat.</w:t>
      </w:r>
    </w:p>
    <w:p>
      <w:r>
        <w:rPr>
          <w:b/>
        </w:rPr>
        <w:t>E. 2.2</w:t>
      </w:r>
    </w:p>
    <w:p>
      <w:r>
        <w:t>Der Gesuchsteller hatte vor Bundesgericht seine Rechtsbegehren dahingehend abgeändert, dass nach Ablauf der Übergangsphase die Betreuungsregelung gemäss Vereinbarung vom 22. Juni 2010 gelte. Das Bundesgericht hat dieses vom ursprünglichen Begehren abweichende Rechtsbegehren zugelassen, da der Gesuchsteller damit weniger als vor zweiter Instanz verlangte und somit insoweit kein neues (unzulässiges) Begehren vorlag (Urteil 5A_198/2013 E. 1.2; Art. 99 Abs. 2 BGG ). Die Gesuchsgegnerin hat sich diesem Antrag widersetzt. Das Bundesgericht hat die Beschwerde abgewiesen, soweit darauf einzutreten war. In seiner Eingabe (S. 2-5 zum Revisionsgrund des Art. 121 lit. b BGG ) zeigt der Gesuchsteller in keiner Weise auf, inwiefern das Bundesgericht einer der Parteien mehr oder etwas anderes als verlangt zugesprochen hätte, und dies ist auch nicht ersichtlich. Die Ausführungen auf den besagten Seiten erschöpfen sich in einer Kritik an der bundesgerichtlichen Rechtsanwendung insbesondere in Bezug auf Art. 310, 311 und namentlich aArt. 298 Abs. 2 ZGB, indem etwa im Widerspruch zum bundesgerichtlichen Urteil die Zuständigkeit der Vormundschaftsbehörde zur Änderung der Betreuungsregelung bestritten wird. Diese Kritik ist indes nicht geeignet, den Revisionsgrund des Art. 121 lit. b BGG zu belegen. Darauf ist insgesamt nicht einzutreten.</w:t>
      </w:r>
    </w:p>
    <w:p>
      <w:r>
        <w:rPr>
          <w:b/>
        </w:rPr>
        <w:t>E. 3</w:t>
      </w:r>
    </w:p>
    <w:p>
      <w:r>
        <w:t>Der Gesuchsteller ruft ferner den Revisionsgrund von Art. 121 lit. d BGG an. Dieser ist gegeben, wenn das Bundesgericht in den Akten liegende erhebliche Tatsachen aus Versehen nicht berücksichtigt hat.</w:t>
      </w:r>
    </w:p>
    <w:p>
      <w:r>
        <w:rPr>
          <w:b/>
        </w:rPr>
        <w:t>E. 3.1</w:t>
      </w:r>
    </w:p>
    <w:p>
      <w:r>
        <w:t>Der Gesuchsteller macht zur Begründung einmal im Wesentlichen geltend (Gesuch S. 6-13), der zuständige Sachbearbeiter habe seine Liegenschaft besucht und sei zum Schluss gekommen, dass er (der Gesuchsteller) für die Sicherheit seiner Tochter sorgen könne und auch sonst keine Gefährdungsmomente vorlägen. Das Bundesgericht habe diese erhebliche gegen die Anwendung von aArt. 310 bzw. aArt. 311 ZGB sprechende Tatsache übersehen. Es habe mit anderen Worten nicht beachtet, dass kein Grund gemäss aArt. 310 und aArt. 311 ZGB vorhanden gewesen sei, um bei der Vormundschaftsbehörde die Abänderung der Betreuungsregelung zu beantragen.</w:t>
      </w:r>
    </w:p>
    <w:p>
      <w:r>
        <w:rPr>
          <w:b/>
        </w:rPr>
        <w:t>E. 3.2</w:t>
      </w:r>
    </w:p>
    <w:p>
      <w:r>
        <w:t>Bei den Ausführungen zu aArt. 298 Abs. 2 ZGB bzw. aArt. 310 und aArt. 311 ZGB war für das Bundesgericht einmal der Umstand relevant, dass die Kinderbelange der Untersuchungs- und Offizialmaxime ( BGE 138 III 532 E. 1; 120 II 229 ) unterliegen, welche die zuständige Behörde zum Einschreiten verpflichtet, wenn sich die Parteien im Verlaufe der Zeit über die Betreuungsanteile nicht mehr einig sind. War mithin der Streit über die Betreuungsanteile für das Bundesgericht Anlass genug, um im Lichte der Untersuchungs- und Offizialmaxime ein Einschreiten der Behörde und eine Neuordnung der Betreuungsregelung zu rechtfertigen, so kam es auf die vom Gesuchsteller erwähnte, aber nicht berücksichtigte Tatsache nicht an. Das Bundesgericht war daher auch nicht verpflichtet, diese für den Fall nicht massgebliche Tatsache ausdrücklich zu erwähnen (Urteil 1F_10/2007 vom 2. Oktober 2007 E. 4.1 und 4.2).</w:t>
      </w:r>
    </w:p>
    <w:p>
      <w:r>
        <w:t>Im Übrigen erschöpfen sich die Ausführungen auf den Seiten 6-14 des Gesuchs in einer Kritik an den bundesgerichtlichen Erwägungen zu aArt. 298a sowie Art. 310 und 311 ZGB und somit an der Rechtsanwendung durch das Bundesgericht. Damit lässt sich indes der Revisionsgrund des Art. 121 lit. d BGG nicht belegen (Urteil 5F_6/2007 vom 7. April 2008 E. 2.2). Auf diese insgesamt unzulässigen Ausführungen des Gesuchstellers ist nicht einzutreten.</w:t>
      </w:r>
    </w:p>
    <w:p>
      <w:r>
        <w:rPr>
          <w:b/>
        </w:rPr>
        <w:t>E. 4</w:t>
      </w:r>
    </w:p>
    <w:p>
      <w:r>
        <w:t>Damit ist das Revisionsgesuch abzuweisen, soweit überhaupt darauf eingetreten werden kann. Bei diesem Ausgang des Verfahrens wird der Gesuchsteller kostenpflichtig ( Art. 66 Abs. 1 BGG ). Er hat die Gegenpartei jedoch für das bundesgerichtliche Verfahren nicht zu entschädigen, da keine Vernehmlassung eingeholt worden ist.</w:t>
      </w:r>
    </w:p>
    <w:p>
      <w:r>
        <w:rPr>
          <w:b/>
        </w:rPr>
        <w:t>E. 5</w:t>
      </w:r>
    </w:p>
    <w:p>
      <w:r>
        <w:t>Wie die bisherigen Ausführungen zeigen, hat sich das Revisionsgesuch als von Anfang an aussichtslos erwiesen. Fehlt es somit an einer der kumulativen Voraussetzungen für die Gewährung der unentgeltlichen Rechtspflege für das bundesgerichtliche Verfahren (nicht aussichtslose Eingabe), muss das entsprechende Gesuch des Gesuchstellers abgewiesen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