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5F_2/2010 vom 23. April 2010</w:t>
      </w:r>
    </w:p>
    <w:p>
      <w:r>
        <w:t>Bundesgericht, 2010-04-23, DE</w:t>
      </w:r>
    </w:p>
    <w:p>
      <w:r>
        <w:rPr>
          <w:b/>
        </w:rPr>
        <w:t xml:space="preserve">Quelle: </w:t>
      </w:r>
      <w:r>
        <w:t>https://mcp.opencaselaw.ch/entscheid/bger_5F_2_2010</w:t>
      </w:r>
    </w:p>
    <w:p>
      <w:r>
        <w:t>FR: TF 5F_2/2010 du 23 avril 2010</w:t>
      </w:r>
    </w:p>
    <w:p>
      <w:r>
        <w:t>IT: TF 5F_2/2010 del 23 aprile 2010</w:t>
      </w:r>
    </w:p>
    <w:p>
      <w:pPr>
        <w:pStyle w:val="Heading2"/>
      </w:pPr>
      <w:r>
        <w:t>Erwägungen</w:t>
      </w:r>
    </w:p>
    <w:p>
      <w:r>
        <w:rPr>
          <w:b/>
        </w:rPr>
        <w:t>E. 1</w:t>
      </w:r>
    </w:p>
    <w:p>
      <w:r>
        <w:t>Die Revision eines bundesgerichtlichen Entscheides setzt voraus, dass das Gericht falsch besetzt war, einer Partei mehr oder anderes als das Verlangte zugesprochen wurde, einzelne Anträge nicht beurteilt wurden oder das Gericht aus Versehen aktenkundige erhebliche Tatsachen nicht berücksichtigte ( Art. 121 lit. a-d BGG ). Sie ist ferner möglich unter bestimmten Voraussetzungen nach einem Urteil des EGMR ( Art. 122 BGG ), bei durch Strafurteil erwiesener Einwirkung auf den Entscheid oder bei nachträglicher Entdeckung neuer erheblicher Tatsachen und Beweismittel (Art. 123 Abs. 1 und Abs. 2 lit. a BGG).</w:t>
      </w:r>
    </w:p>
    <w:p>
      <w:r>
        <w:rPr>
          <w:b/>
        </w:rPr>
        <w:t>E. 2</w:t>
      </w:r>
    </w:p>
    <w:p>
      <w:r>
        <w:t>Die Gesuchstellerin macht zwar formell den Revisionsgrund von Art. 121 lit. d BGG geltend (Übersehen aktenkundiger erheblicher Tatsachen). Sie bringt im Wesentlichen vor, zur Zeit der angefochtenen Zahlung habe beim Swissair-Konzern mit Bezug auf die angefochtene Zinszahlung nicht mehr von einer gewöhnlichen Geschäftstätigkeit gesprochen werden können, der Zinszahlung stehe keine gleichwertige Gegenleistung gegenüber und das Bundesgericht weiche von seiner eigenen tradierten Rechtsprechung ab. Mit dieser vom Bundesgerichtsurteil 5A_758/2008, in welchem die monierten Punkte behandelt sind, divergierenden Sichtweise kritisiert die Gesuchstellerin das Urteil jedoch von der Sache her, weshalb kein Revisionsgrund vorliegt.</w:t>
      </w:r>
    </w:p>
    <w:p>
      <w:r>
        <w:t>Was die angebliche Verletzung des rechtlichen Gehörs wegen nicht angekündigter Motivsubstitution (fehlende Gläubigerschädigung als Tatbestandsvoraussetzung von Art. 288 SchKG ) anbelangt, anerkennt die Gesuchstellerin in ihrer Ergänzung selbst, dass eine Gehörsverletzung kein Revisionsgrund wäre. Nur der Vollständigkeit halber sei sie deshalb in Wiederholung der Ausführungen im Urteil 5A_758/2008, E. 4, erneut darauf hingewiesen, dass sie alle drei Tatbestandsvoraussetzungen der Absichtsanfechtung zu beweisen hatte, was ihr bekannt sein musste, umso mehr als dies der Gegenpartei, die zu allen drei Tatbestandselementen ausführlich Stellung genommen hat, bewusst war.</w:t>
      </w:r>
    </w:p>
    <w:p>
      <w:r>
        <w:rPr>
          <w:b/>
        </w:rPr>
        <w:t>E. 3</w:t>
      </w:r>
    </w:p>
    <w:p>
      <w:r>
        <w:t>Nach dem Gesagten werden keine zulässigen Revisionsgründe vorgebracht, weshalb auf das Revisionsgesuch nicht eingetreten werden kann. Der Gesuchstellerin ist somit eine reduzierte Gerichtsgebühr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