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5F_29/2022 vom 16. September 2022</w:t>
      </w:r>
    </w:p>
    <w:p>
      <w:r>
        <w:t>Bundesgericht, 2022-09-16, FR</w:t>
      </w:r>
    </w:p>
    <w:p>
      <w:r>
        <w:rPr>
          <w:b/>
        </w:rPr>
        <w:t xml:space="preserve">Quelle: </w:t>
      </w:r>
      <w:r>
        <w:t>https://mcp.opencaselaw.ch/entscheid/bger_5F_29_2022</w:t>
      </w:r>
    </w:p>
    <w:p>
      <w:r>
        <w:t>FR: TF 5F_29/2022 du 16 septembre 2022</w:t>
      </w:r>
    </w:p>
    <w:p>
      <w:r>
        <w:t>IT: TF 5F_29/2022 del 16 settembre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ordonnance du 8 septembre 2022 (5A_664/2022), le Président de la IIe Cour de droit civil du Tribunal fédéral a rejeté la requête de "</w:t>
      </w:r>
    </w:p>
    <w:p>
      <w:r>
        <w:t>mesures provisionnelles/super-provisionnelles " formée le 7 septembre 2022 par A.________ (</w:t>
      </w:r>
    </w:p>
    <w:p>
      <w:r>
        <w:t>i.e. suspension de la vente d'un bateau).</w:t>
      </w:r>
    </w:p>
    <w:p>
      <w:r>
        <w:rPr>
          <w:b/>
        </w:rPr>
        <w:t>E. 2</w:t>
      </w:r>
    </w:p>
    <w:p>
      <w:r>
        <w:t>Par écriture expédiée le 8 septembre 2022, la requérante demande la révision de cette ordonnance.</w:t>
      </w:r>
    </w:p>
    <w:p>
      <w:r>
        <w:t>Des observations n'ont pas été requises.</w:t>
      </w:r>
    </w:p>
    <w:p>
      <w:r>
        <w:rPr>
          <w:b/>
        </w:rPr>
        <w:t>E. 3.1</w:t>
      </w:r>
    </w:p>
    <w:p>
      <w:r>
        <w:t>Seuls les</w:t>
      </w:r>
    </w:p>
    <w:p>
      <w:r>
        <w:t>arrêts sont soumis à révision selon les art. 121 ss LTF , à l'exclusion en particulier des ordonnances d'instruction (OBERHOLZER,</w:t>
      </w:r>
    </w:p>
    <w:p>
      <w:r>
        <w:t>in : Bundesgerichtsgesetz [BGG], 2e éd., 2015, n° 5 ad art. 121 LTF ). De surcroît, celles-ci ne sont pas sujettes à recours ( art. 32 al. 3 LTF ); ce principe ne saurait être contourné par une demande de révision (AUBRY GIRARDIN,</w:t>
      </w:r>
    </w:p>
    <w:p>
      <w:r>
        <w:t>in : Commentaire de la LTF, 3e éd., 2022, n° 31 ad art. 32 LTF et la jurisprudence citée). Il s'ensuit que le procédé de la requérante est irrecevable pour ce motif déjà.</w:t>
      </w:r>
    </w:p>
    <w:p>
      <w:r>
        <w:rPr>
          <w:b/>
        </w:rPr>
        <w:t>E. 3.2</w:t>
      </w:r>
    </w:p>
    <w:p>
      <w:r>
        <w:t>La demande de révision est soumise aux exigences de motivation posées à l' art. 42 al. 1 et 2 LTF ( ATF 147 III 238 consid. 1.2.1, avec la jurisprudence citée); en particulier, il incombe à la partie requérante de mentionner le motif de révision, sous peine d'irrecevabilité ( ATF 118 II 477 consid. 1; arrêt 5F_20/2022 du 23 août 2022 consid. 2).</w:t>
      </w:r>
    </w:p>
    <w:p>
      <w:r>
        <w:t>Or, non seulement la demande est totalement déficiente à cet égard, mais la requérante se contente en outre de reprendre l'argumentation soulevée dans son recours (5A_664/2022) et de remettre en discussion les motifs de l'ordonnance entreprise, ce qui n'est pas admissible dans une procédure de révision (parmi plusieurs: arrêt 5F_20/2022 précité consid. 3 et les citations).</w:t>
      </w:r>
    </w:p>
    <w:p>
      <w:r>
        <w:rPr>
          <w:b/>
        </w:rPr>
        <w:t>E. 3.3</w:t>
      </w:r>
    </w:p>
    <w:p>
      <w:r>
        <w:t>Traité comme demande de reconsidération, le procède serait aussi irrecevable, l'intéressée n'invoquant aucun fait nouveau qui justifierait une réglementation différente (</w:t>
      </w:r>
    </w:p>
    <w:p>
      <w:r>
        <w:t>cf . FRÉSARD,</w:t>
      </w:r>
    </w:p>
    <w:p>
      <w:r>
        <w:t>in : Commentaire de la LTF, n° 2 ad art. 61 LTF et les références).</w:t>
      </w:r>
    </w:p>
    <w:p>
      <w:r>
        <w:rPr>
          <w:b/>
        </w:rPr>
        <w:t>E. 4</w:t>
      </w:r>
    </w:p>
    <w:p>
      <w:r>
        <w:t>En conclusion, la demande de révision doit être déclarée entièrement irrecevable. La requérante n'a pas formellement sollicité le bénéfice de l'assistance judiciaire; quoi qu'il en soit, pareille requête eût été rejetée en raison de son irrecevabilité manifeste. Cela étant, les frais doivent être mis à la charge de l'intéressée (art. 64 al. 1 et 66 al. 1 LTF).</w:t>
      </w:r>
    </w:p>
    <w:p>
      <w:r>
        <w:t>Le présent arrêt rend sans objet la requête d'effet suspensif présentée par la requérante.</w:t>
      </w:r>
    </w:p>
    <w:p>
      <w:r>
        <w:rPr>
          <w:b/>
        </w:rPr>
        <w:t>E. 5</w:t>
      </w:r>
    </w:p>
    <w:p>
      <w:r>
        <w:t>La manière de procéder de la requérante - notoirement connue des diverses cours du Tribunal fédéral - justifie de lui infliger une sanction disciplinaire ( art. 33 al. 2 LTF ) et de l'aviser que toute écriture ultérieure dans cette affaire - en particulier de nouvelles demandes de révision ou de reconsidération - seront</w:t>
      </w:r>
    </w:p>
    <w:p>
      <w:r>
        <w:t>classées sans suite 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