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26/2020 vom 12. August 2020</w:t>
      </w:r>
    </w:p>
    <w:p>
      <w:r>
        <w:t>Bundesgericht, 2020-08-12, DE</w:t>
      </w:r>
    </w:p>
    <w:p>
      <w:r>
        <w:rPr>
          <w:b/>
        </w:rPr>
        <w:t xml:space="preserve">Quelle: </w:t>
      </w:r>
      <w:r>
        <w:t>https://mcp.opencaselaw.ch/entscheid/bger_5F_26_2020</w:t>
      </w:r>
    </w:p>
    <w:p>
      <w:r>
        <w:t>FR: TF 5F 26/2020 du 12 août 2020</w:t>
      </w:r>
    </w:p>
    <w:p>
      <w:r>
        <w:t>IT: TF 5F 26/2020 del 12 agosto 2020</w:t>
      </w:r>
    </w:p>
    <w:p>
      <w:pPr>
        <w:pStyle w:val="Heading2"/>
      </w:pPr>
      <w:r>
        <w:t>Regeste</w:t>
      </w:r>
    </w:p>
    <w:p>
      <w:r>
        <w:t>Revisionsgesuch gegen das Urteil des Bundesgerichts 5D_117/2020 vom 13. Juli 2020 | Schuldbetreibungs- und Konkursrecht</w:t>
      </w:r>
    </w:p>
    <w:p>
      <w:pPr>
        <w:pStyle w:val="Heading2"/>
      </w:pPr>
      <w:r>
        <w:t>Erwägungen</w:t>
      </w:r>
    </w:p>
    <w:p>
      <w:r>
        <w:rPr>
          <w:b/>
        </w:rPr>
        <w:t>E. 1</w:t>
      </w:r>
    </w:p>
    <w:p>
      <w:r>
        <w:t>Der Beschwerdeführer nennt keinen Revisionsgrund und macht auch inhaltlich nichts geltend, was Gegenstand einer Revision sein könnte (vgl. Art. 121 ff. BGG ), indem er vorbringt, eine leichte und keine mittelschwere Verkehrsregelverletzung begangen zu haben, weshalb Art. 391 StPO verletzt sei. Auf das Revisionsgesuch ist folglich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