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5F_25/2023 vom 11. Oktober 2023</w:t>
      </w:r>
    </w:p>
    <w:p>
      <w:r>
        <w:t>Bundesgericht, 2023-10-11, FR</w:t>
      </w:r>
    </w:p>
    <w:p>
      <w:r>
        <w:rPr>
          <w:b/>
        </w:rPr>
        <w:t xml:space="preserve">Quelle: </w:t>
      </w:r>
      <w:r>
        <w:t>https://mcp.opencaselaw.ch/entscheid/bger_5F_25_2023</w:t>
      </w:r>
    </w:p>
    <w:p>
      <w:r>
        <w:t>FR: TF 5F_25/2023 du 11 octobre 2023</w:t>
      </w:r>
    </w:p>
    <w:p>
      <w:r>
        <w:t>IT: TF 5F_25/2023 del 11 ottobre 2023</w:t>
      </w:r>
    </w:p>
    <w:p>
      <w:pPr>
        <w:pStyle w:val="Heading2"/>
      </w:pPr>
      <w:r>
        <w:t>Erwägungen</w:t>
      </w:r>
    </w:p>
    <w:p>
      <w:r>
        <w:rPr>
          <w:b/>
        </w:rPr>
        <w:t>E. 1</w:t>
      </w:r>
    </w:p>
    <w:p>
      <w:r>
        <w:t>La requérante invoque le motif de révision de l' art. 121 let . d LTF. Aux termes de cette disposition, la révision d'un arrêt du Tribunal fédéral peut être demandée si, par inadvertance, le tribunal n'a pas pris en considération des faits pertinents qui ressortent du dossier ( art. 121 let . d LTF). Fondée sur ce motif, la demande de révision doit être déposée dans les 30 jours qui suivent la notification de l'expédition complète de l'arrêt ( art. 124 al. 1 let. b LTF ).</w:t>
      </w:r>
    </w:p>
    <w:p>
      <w:r>
        <w:t>La requérante a reçu l'arrêt 5A_339/2023 le 12 juillet 2023 et déposé sa demande de révision le 11 septembre 2023. Le délai de recours est respecté, compte tenu des féries judiciaires ( art. 46 al. 1 let. b LTF ; ATF 142 III 521 consid. 2.2). Il est précisé à ce dernier égard que l'arrêt entrepris, certes rendu dans le contexte de mesures provisionnelles, porte notamment sur la décision d'</w:t>
      </w:r>
    </w:p>
    <w:p>
      <w:r>
        <w:t>exequatur du jugement anglais, laquelle ne constitue pas une mesure provisionnelle au sens de l' art. 98 LTF ( ATF 135 III 670 consid. 1.3.2; 143 III 51 consid. 2.3; 149 III 34 consid. 3.3). Seule cette dernière question fait l'objet de la demande de révision.</w:t>
      </w:r>
    </w:p>
    <w:p>
      <w:r>
        <w:rPr>
          <w:b/>
        </w:rPr>
        <w:t>E. 2.1</w:t>
      </w:r>
    </w:p>
    <w:p>
      <w:r>
        <w:t>Le motif de révision de l' art. 121 let . d LTF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 ATF 122 II 17 consid. 3; 115 II 399 consid. 2a).</w:t>
      </w:r>
    </w:p>
    <w:p>
      <w:r>
        <w:rPr>
          <w:b/>
        </w:rPr>
        <w:t>E. 2.2</w:t>
      </w:r>
    </w:p>
    <w:p>
      <w:r>
        <w:t>Pour l'essentiel, la recourante reproche au Tribunal fédéral d'avoir effectué une lecture incomplète du jugement anglais des 17 et 20 décembre 2021 et de s'être ainsi écarté "de la teneur exacte" de cette pièce, "respectivement de son sens manifeste" en retenant que dite décision se fondait sur le droit anglais alors que celle-ci s'appuyait expressément sur l'art. 7 de la Convention de La Haye concernant la compétence, la loi applicable, la reconnaissance, l'exécution et la coopération en matière de responsabilité parentale et de mesures de protection des enfants (CLaH96; RS 0.211.231.011). Cette circonstance impliquait que la Cour de céans ne pouvait affirmer qu'aucune procédure de retour n'était pendante le 17 décembre 2021, comme elle le prétendait dans son arrêt du 6 juillet 2023; à cette date, les autorités anglaises avaient en réalité bien statué sur le retour de l'enfant.</w:t>
      </w:r>
    </w:p>
    <w:p>
      <w:r>
        <w:rPr>
          <w:b/>
        </w:rPr>
        <w:t>E. 2.3</w:t>
      </w:r>
    </w:p>
    <w:p>
      <w:r>
        <w:t>L'argumentation développée par la recourante procède manifestement d'une mécompréhension de la décision dont elle souhaite la révision. Pour l'essentiel, elle vise à faire passer la décision rendue par les tribunaux anglais les 17 et 20 décembre 2021 comme une "décision de retour" fondée sur l'art. 7 CLaH96 permettant de faire revenir immédiatement sa fille au Royaume-Uni. S'ensuit une explication par laquelle la recourante prétend que l'arrêt déféré, s'écartant de la teneur exacte de la décision anglaise susmentionnée, retiendrait que celle-ci se basait sur le droit anglais et non sur la disposition précitée, circonstance induisant une erreur déterminante pour le sort de la cause.</w:t>
      </w:r>
    </w:p>
    <w:p>
      <w:r>
        <w:t>A l'évidence, la recourante confond compétence et droit applicable, lui étant rappelé que l'art. 7 CLaH96 traite de la compétence préservée de l'État de l'ancienne résidence habituelle de l'enfant suite à un déplacement illicite, et non du droit applicable, et que l'arrêt déféré n'exclut pas la compétence des tribunaux anglais sur le fondement de la disposition invoquée, question qui fait précisément l'objet du renvoi à la cour cantonale (arrêt 5A_339/2023 consid. 5.5.3). Dans cette perspective, sa motivation - dont on peut douter qu'elle porte sur une question factuelle - apparaît dépourvue de toute pertinence. L'on renverra enfin la recourante au consid. 5.4 de l'arrêt querellé s'agissant des possibilités d'obtenir le retour de l'enfant sur la base de la CLaH96, étant souligné qu'une telle éventualité n'est qu'indirecte.</w:t>
      </w:r>
    </w:p>
    <w:p>
      <w:r>
        <w:rPr>
          <w:b/>
        </w:rPr>
        <w:t>E. 3</w:t>
      </w:r>
    </w:p>
    <w:p>
      <w:r>
        <w:t>En définitive, la demande de révision est rejetée, aux frais de la requérante ( art. 66 al. 1 LTF ). Aucune indemnité de dépens n'est octroyée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